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almeno un farmaco nella storia e un observation period che overlappa lo study period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Totale soggetti registrati in anagrafe sanitaria per almeno un giorno tra il 01/01/2016 e il 31/12/2025</w:t>
            </w:r>
          </w:p>
        </w:tc>
        <w:tc>
          <w:p>
            <w:pPr>
              <w:pStyle w:val="Normal"/>
            </w:pPr>
            <w:r>
              <w:t>4.024 (80,5%)</w:t>
            </w:r>
          </w:p>
        </w:tc>
      </w:tr>
      <w:tr>
        <w:tc>
          <w:p>
            <w:pPr>
              <w:pStyle w:val="Normal"/>
            </w:pPr>
            <w:r>
              <w:t>Soggetti con un periodo di osservazione</w:t>
            </w:r>
          </w:p>
        </w:tc>
        <w:tc>
          <w:p>
            <w:pPr>
              <w:pStyle w:val="Normal"/>
            </w:pPr>
            <w:r>
              <w:t>3.974 (79,5%)</w:t>
            </w:r>
          </w:p>
        </w:tc>
      </w:tr>
      <w:tr>
        <w:tc>
          <w:p>
            <w:pPr>
              <w:pStyle w:val="Normal"/>
            </w:pPr>
            <w:r>
              <w:t>Soggetti con un periodo di osservazione coincidente con il periodo di studio</w:t>
            </w:r>
          </w:p>
        </w:tc>
        <w:tc>
          <w:p>
            <w:pPr>
              <w:pStyle w:val="Normal"/>
            </w:pPr>
            <w:r>
              <w:t>3.991 (79,8%)</w:t>
            </w:r>
          </w:p>
        </w:tc>
      </w:tr>
      <w:tr>
        <w:tc>
          <w:p>
            <w:pPr>
              <w:pStyle w:val="Normal"/>
            </w:pPr>
            <w:r>
              <w:t>Soggetti 18+ in almeno un giorno durante il periodo di studio</w:t>
            </w:r>
          </w:p>
        </w:tc>
        <w:tc>
          <w:p>
            <w:pPr>
              <w:pStyle w:val="Normal"/>
            </w:pPr>
            <w:r>
              <w:t>4.040 (80,8%)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nell’istanza</w:t>
            </w:r>
          </w:p>
        </w:tc>
        <w:tc>
          <w:p>
            <w:pPr>
              <w:pStyle w:val="Normal"/>
            </w:pPr>
            <w:r>
              <w:t>4.034 (80,7%)</w:t>
            </w:r>
          </w:p>
        </w:tc>
      </w:tr>
      <w:tr>
        <w:tc>
          <w:p>
            <w:pPr>
              <w:pStyle w:val="Normal"/>
            </w:pPr>
            <w:r>
              <w:t>Soggetti con almeno una dispensazione del farmaco di interesse nel periodo di studio</w:t>
            </w:r>
          </w:p>
        </w:tc>
        <w:tc>
          <w:p>
            <w:pPr>
              <w:pStyle w:val="Normal"/>
            </w:pPr>
            <w:r>
              <w:t>3.999 (80,0%)</w:t>
            </w:r>
          </w:p>
        </w:tc>
      </w:tr>
      <w:tr>
        <w:tc>
          <w:p>
            <w:pPr>
              <w:pStyle w:val="Normal"/>
            </w:pPr>
            <w:r>
              <w:t>Soggetti con almeno 2 anni di osservazione precedenti alla prima data di dispensazione del farmaco di interesse durante il periodo di studio (data indice)</w:t>
            </w:r>
          </w:p>
        </w:tc>
        <w:tc>
          <w:p>
            <w:pPr>
              <w:pStyle w:val="Normal"/>
            </w:pPr>
            <w:r>
              <w:t>4.032 (80,6%)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3.960 (79,2%)</w:t>
            </w:r>
          </w:p>
        </w:tc>
      </w:tr>
      <w:tr>
        <w:tc>
          <w:p>
            <w:pPr>
              <w:pStyle w:val="Normal"/>
            </w:pPr>
            <w:r>
              <w:t>Soggetti con nessuna dispensazione del farmaco di interesse precedente alla data indice</w:t>
            </w:r>
          </w:p>
        </w:tc>
        <w:tc>
          <w:p>
            <w:pPr>
              <w:pStyle w:val="Normal"/>
            </w:pPr>
            <w:r>
              <w:t>449 (9,0%)</w:t>
            </w:r>
          </w:p>
        </w:tc>
      </w:tr>
      <w:tr>
        <w:tc>
          <w:p>
            <w:pPr>
              <w:pStyle w:val="Normal"/>
            </w:pPr>
            <w:r>
              <w:t>Totale soggetti inclusi nella coorte di studio</w:t>
            </w:r>
          </w:p>
        </w:tc>
        <w:tc>
          <w:p>
            <w:pPr>
              <w:pStyle w:val="Normal"/>
            </w:pPr>
            <w:r>
              <w:t>858 (17,2%)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2026-09-08T13:33:23Z</dcterms:modified>
  <cp:category/>
</cp:coreProperties>
</file>