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1651</w:t>
            </w:r>
          </w:p>
        </w:tc>
        <w:tc>
          <w:p>
            <w:pPr>
              <w:pStyle w:val="Normal"/>
            </w:pPr>
            <w:r>
              <w:t>1682</w:t>
            </w:r>
          </w:p>
        </w:tc>
        <w:tc>
          <w:p>
            <w:pPr>
              <w:pStyle w:val="Normal"/>
            </w:pPr>
            <w:r>
              <w:t>1667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50 (41 - 60)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590 (35,7%)</w:t>
            </w:r>
          </w:p>
        </w:tc>
        <w:tc>
          <w:p>
            <w:pPr>
              <w:pStyle w:val="Normal"/>
            </w:pPr>
            <w:r>
              <w:t>585 (34,8%)</w:t>
            </w:r>
          </w:p>
        </w:tc>
        <w:tc>
          <w:p>
            <w:pPr>
              <w:pStyle w:val="Normal"/>
            </w:pPr>
            <w:r>
              <w:t>552 (33,1%)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793 (48,0%)</w:t>
            </w:r>
          </w:p>
        </w:tc>
        <w:tc>
          <w:p>
            <w:pPr>
              <w:pStyle w:val="Normal"/>
            </w:pPr>
            <w:r>
              <w:t>798 (47,4%)</w:t>
            </w:r>
          </w:p>
        </w:tc>
        <w:tc>
          <w:p>
            <w:pPr>
              <w:pStyle w:val="Normal"/>
            </w:pPr>
            <w:r>
              <w:t>842 (50,5%)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193 (11,7%)</w:t>
            </w:r>
          </w:p>
        </w:tc>
        <w:tc>
          <w:p>
            <w:pPr>
              <w:pStyle w:val="Normal"/>
            </w:pPr>
            <w:r>
              <w:t>219 (13,0%)</w:t>
            </w:r>
          </w:p>
        </w:tc>
        <w:tc>
          <w:p>
            <w:pPr>
              <w:pStyle w:val="Normal"/>
            </w:pPr>
            <w:r>
              <w:t>182 (10,9%)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75 (4,5%)</w:t>
            </w:r>
          </w:p>
        </w:tc>
        <w:tc>
          <w:p>
            <w:pPr>
              <w:pStyle w:val="Normal"/>
            </w:pPr>
            <w:r>
              <w:t>80 (4,8%)</w:t>
            </w:r>
          </w:p>
        </w:tc>
        <w:tc>
          <w:p>
            <w:pPr>
              <w:pStyle w:val="Normal"/>
            </w:pPr>
            <w:r>
              <w:t>91 (5,5%)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864 (52,3%)</w:t>
            </w:r>
          </w:p>
        </w:tc>
        <w:tc>
          <w:p>
            <w:pPr>
              <w:pStyle w:val="Normal"/>
            </w:pPr>
            <w:r>
              <w:t>807 (48,0%)</w:t>
            </w:r>
          </w:p>
        </w:tc>
        <w:tc>
          <w:p>
            <w:pPr>
              <w:pStyle w:val="Normal"/>
            </w:pPr>
            <w:r>
              <w:t>822 (49,3%)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1.128 (68,3%)</w:t>
            </w:r>
          </w:p>
        </w:tc>
        <w:tc>
          <w:p>
            <w:pPr>
              <w:pStyle w:val="Normal"/>
            </w:pPr>
            <w:r>
              <w:t>1.130 (67,2%)</w:t>
            </w:r>
          </w:p>
        </w:tc>
        <w:tc>
          <w:p>
            <w:pPr>
              <w:pStyle w:val="Normal"/>
            </w:pPr>
            <w:r>
              <w:t>1.158 (69,5%)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129 (7,8%)</w:t>
            </w:r>
          </w:p>
        </w:tc>
        <w:tc>
          <w:p>
            <w:pPr>
              <w:pStyle w:val="Normal"/>
            </w:pPr>
            <w:r>
              <w:t>146 (8,7%)</w:t>
            </w:r>
          </w:p>
        </w:tc>
        <w:tc>
          <w:p>
            <w:pPr>
              <w:pStyle w:val="Normal"/>
            </w:pPr>
            <w:r>
              <w:t>147 (8,8%)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686 (41,6%)</w:t>
            </w:r>
          </w:p>
        </w:tc>
        <w:tc>
          <w:p>
            <w:pPr>
              <w:pStyle w:val="Normal"/>
            </w:pPr>
            <w:r>
              <w:t>656 (39,0%)</w:t>
            </w:r>
          </w:p>
        </w:tc>
        <w:tc>
          <w:p>
            <w:pPr>
              <w:pStyle w:val="Normal"/>
            </w:pPr>
            <w:r>
              <w:t>696 (41,8%)</w:t>
            </w:r>
          </w:p>
        </w:tc>
      </w:tr>
      <w:tr>
        <w:tc>
          <w:p>
            <w:pPr>
              <w:pStyle w:val="Normal"/>
            </w:pPr>
            <w:r>
              <w:t>Malattia cerebrovascolare, n (%)</w:t>
            </w:r>
          </w:p>
        </w:tc>
        <w:tc>
          <w:p>
            <w:pPr>
              <w:pStyle w:val="Normal"/>
            </w:pPr>
            <w:r>
              <w:t>250 (15,1%)</w:t>
            </w:r>
          </w:p>
        </w:tc>
        <w:tc>
          <w:p>
            <w:pPr>
              <w:pStyle w:val="Normal"/>
            </w:pPr>
            <w:r>
              <w:t>225 (13,4%)</w:t>
            </w:r>
          </w:p>
        </w:tc>
        <w:tc>
          <w:p>
            <w:pPr>
              <w:pStyle w:val="Normal"/>
            </w:pPr>
            <w:r>
              <w:t>237 (14,2%)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1.396 (84,6%)</w:t>
            </w:r>
          </w:p>
        </w:tc>
        <w:tc>
          <w:p>
            <w:pPr>
              <w:pStyle w:val="Normal"/>
            </w:pPr>
            <w:r>
              <w:t>1.427 (84,8%)</w:t>
            </w:r>
          </w:p>
        </w:tc>
        <w:tc>
          <w:p>
            <w:pPr>
              <w:pStyle w:val="Normal"/>
            </w:pPr>
            <w:r>
              <w:t>1.401 (84,0%)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1.409 (85,3%)</w:t>
            </w:r>
          </w:p>
        </w:tc>
        <w:tc>
          <w:p>
            <w:pPr>
              <w:pStyle w:val="Normal"/>
            </w:pPr>
            <w:r>
              <w:t>1.427 (84,8%)</w:t>
            </w:r>
          </w:p>
        </w:tc>
        <w:tc>
          <w:p>
            <w:pPr>
              <w:pStyle w:val="Normal"/>
            </w:pPr>
            <w:r>
              <w:t>1.404 (84,2%)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895 (54,2%)</w:t>
            </w:r>
          </w:p>
        </w:tc>
        <w:tc>
          <w:p>
            <w:pPr>
              <w:pStyle w:val="Normal"/>
            </w:pPr>
            <w:r>
              <w:t>857 (51,0%)</w:t>
            </w:r>
          </w:p>
        </w:tc>
        <w:tc>
          <w:p>
            <w:pPr>
              <w:pStyle w:val="Normal"/>
            </w:pPr>
            <w:r>
              <w:t>908 (54,5%)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327 (19,8%)</w:t>
            </w:r>
          </w:p>
        </w:tc>
        <w:tc>
          <w:p>
            <w:pPr>
              <w:pStyle w:val="Normal"/>
            </w:pPr>
            <w:r>
              <w:t>304 (18,1%)</w:t>
            </w:r>
          </w:p>
        </w:tc>
        <w:tc>
          <w:p>
            <w:pPr>
              <w:pStyle w:val="Normal"/>
            </w:pPr>
            <w:r>
              <w:t>298 (17,9%)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2026-09-08T15:11:32Z</dcterms:modified>
  <cp:category/>
</cp:coreProperties>
</file>