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Totale sottopopolazione CAP</w:t>
            </w:r>
          </w:p>
        </w:tc>
        <w:tc>
          <w:p>
            <w:pPr>
              <w:pStyle w:val="Normal"/>
            </w:pPr>
            <w:r>
              <w:t>560</w:t>
            </w:r>
          </w:p>
        </w:tc>
        <w:tc>
          <w:p>
            <w:pPr>
              <w:pStyle w:val="Normal"/>
            </w:pPr>
            <w:r>
              <w:t>599</w:t>
            </w:r>
          </w:p>
        </w:tc>
        <w:tc>
          <w:p>
            <w:pPr>
              <w:pStyle w:val="Normal"/>
            </w:pPr>
            <w:r>
              <w:t>534</w:t>
            </w:r>
          </w:p>
        </w:tc>
        <w:tc>
          <w:p>
            <w:pPr>
              <w:pStyle w:val="Normal"/>
            </w:pPr>
            <w:r>
              <w:t>557</w:t>
            </w:r>
          </w:p>
        </w:tc>
        <w:tc>
          <w:p>
            <w:pPr>
              <w:pStyle w:val="Normal"/>
            </w:pPr>
            <w:r>
              <w:t>551</w:t>
            </w:r>
          </w:p>
        </w:tc>
        <w:tc>
          <w:p>
            <w:pPr>
              <w:pStyle w:val="Normal"/>
            </w:pPr>
            <w:r>
              <w:t>563</w:t>
            </w:r>
          </w:p>
        </w:tc>
        <w:tc>
          <w:p>
            <w:pPr>
              <w:pStyle w:val="Normal"/>
            </w:pPr>
            <w:r>
              <w:t>518</w:t>
            </w:r>
          </w:p>
        </w:tc>
        <w:tc>
          <w:p>
            <w:pPr>
              <w:pStyle w:val="Normal"/>
            </w:pPr>
            <w:r>
              <w:t>560</w:t>
            </w:r>
          </w:p>
        </w:tc>
        <w:tc>
          <w:p>
            <w:pPr>
              <w:pStyle w:val="Normal"/>
            </w:pPr>
            <w:r>
              <w:t>558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49 (39.75 - 60)</w:t>
            </w:r>
          </w:p>
        </w:tc>
        <w:tc>
          <w:p>
            <w:pPr>
              <w:pStyle w:val="Normal"/>
            </w:pPr>
            <w:r>
              <w:t>50 (41 - 61)</w:t>
            </w:r>
          </w:p>
        </w:tc>
        <w:tc>
          <w:p>
            <w:pPr>
              <w:pStyle w:val="Normal"/>
            </w:pPr>
            <w:r>
              <w:t>51 (42 - 60)</w:t>
            </w:r>
          </w:p>
        </w:tc>
        <w:tc>
          <w:p>
            <w:pPr>
              <w:pStyle w:val="Normal"/>
            </w:pPr>
            <w:r>
              <w:t>50 (41 - 61)</w:t>
            </w:r>
          </w:p>
        </w:tc>
        <w:tc>
          <w:p>
            <w:pPr>
              <w:pStyle w:val="Normal"/>
            </w:pPr>
            <w:r>
              <w:t>52 (41 - 61)</w:t>
            </w:r>
          </w:p>
        </w:tc>
        <w:tc>
          <w:p>
            <w:pPr>
              <w:pStyle w:val="Normal"/>
            </w:pPr>
            <w:r>
              <w:t>51 (42 - 61)</w:t>
            </w:r>
          </w:p>
        </w:tc>
        <w:tc>
          <w:p>
            <w:pPr>
              <w:pStyle w:val="Normal"/>
            </w:pPr>
            <w:r>
              <w:t>50 (39 - 60.75)</w:t>
            </w:r>
          </w:p>
        </w:tc>
        <w:tc>
          <w:p>
            <w:pPr>
              <w:pStyle w:val="Normal"/>
            </w:pPr>
            <w:r>
              <w:t>50 (40 - 59)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200 (35,7%)</w:t>
            </w:r>
          </w:p>
        </w:tc>
        <w:tc>
          <w:p>
            <w:pPr>
              <w:pStyle w:val="Normal"/>
            </w:pPr>
            <w:r>
              <w:t>194 (32,4%)</w:t>
            </w:r>
          </w:p>
        </w:tc>
        <w:tc>
          <w:p>
            <w:pPr>
              <w:pStyle w:val="Normal"/>
            </w:pPr>
            <w:r>
              <w:t>170 (31,8%)</w:t>
            </w:r>
          </w:p>
        </w:tc>
        <w:tc>
          <w:p>
            <w:pPr>
              <w:pStyle w:val="Normal"/>
            </w:pPr>
            <w:r>
              <w:t>192 (34,5%)</w:t>
            </w:r>
          </w:p>
        </w:tc>
        <w:tc>
          <w:p>
            <w:pPr>
              <w:pStyle w:val="Normal"/>
            </w:pPr>
            <w:r>
              <w:t>185 (33,6%)</w:t>
            </w:r>
          </w:p>
        </w:tc>
        <w:tc>
          <w:p>
            <w:pPr>
              <w:pStyle w:val="Normal"/>
            </w:pPr>
            <w:r>
              <w:t>190 (33,7%)</w:t>
            </w:r>
          </w:p>
        </w:tc>
        <w:tc>
          <w:p>
            <w:pPr>
              <w:pStyle w:val="Normal"/>
            </w:pPr>
            <w:r>
              <w:t>188 (36,3%)</w:t>
            </w:r>
          </w:p>
        </w:tc>
        <w:tc>
          <w:p>
            <w:pPr>
              <w:pStyle w:val="Normal"/>
            </w:pPr>
            <w:r>
              <w:t>197 (35,2%)</w:t>
            </w:r>
          </w:p>
        </w:tc>
        <w:tc>
          <w:p>
            <w:pPr>
              <w:pStyle w:val="Normal"/>
            </w:pPr>
            <w:r>
              <w:t>210 (37,6%)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269 (48,0%)</w:t>
            </w:r>
          </w:p>
        </w:tc>
        <w:tc>
          <w:p>
            <w:pPr>
              <w:pStyle w:val="Normal"/>
            </w:pPr>
            <w:r>
              <w:t>289 (48,2%)</w:t>
            </w:r>
          </w:p>
        </w:tc>
        <w:tc>
          <w:p>
            <w:pPr>
              <w:pStyle w:val="Normal"/>
            </w:pPr>
            <w:r>
              <w:t>285 (53,4%)</w:t>
            </w:r>
          </w:p>
        </w:tc>
        <w:tc>
          <w:p>
            <w:pPr>
              <w:pStyle w:val="Normal"/>
            </w:pPr>
            <w:r>
              <w:t>268 (48,1%)</w:t>
            </w:r>
          </w:p>
        </w:tc>
        <w:tc>
          <w:p>
            <w:pPr>
              <w:pStyle w:val="Normal"/>
            </w:pPr>
            <w:r>
              <w:t>258 (46,8%)</w:t>
            </w:r>
          </w:p>
        </w:tc>
        <w:tc>
          <w:p>
            <w:pPr>
              <w:pStyle w:val="Normal"/>
            </w:pPr>
            <w:r>
              <w:t>274 (48,7%)</w:t>
            </w:r>
          </w:p>
        </w:tc>
        <w:tc>
          <w:p>
            <w:pPr>
              <w:pStyle w:val="Normal"/>
            </w:pPr>
            <w:r>
              <w:t>236 (45,6%)</w:t>
            </w:r>
          </w:p>
        </w:tc>
        <w:tc>
          <w:p>
            <w:pPr>
              <w:pStyle w:val="Normal"/>
            </w:pPr>
            <w:r>
              <w:t>277 (49,5%)</w:t>
            </w:r>
          </w:p>
        </w:tc>
        <w:tc>
          <w:p>
            <w:pPr>
              <w:pStyle w:val="Normal"/>
            </w:pPr>
            <w:r>
              <w:t>254 (45,5%)</w:t>
            </w:r>
          </w:p>
        </w:tc>
      </w:tr>
      <w:tr>
        <w:tc>
          <w:p>
            <w:pPr>
              <w:pStyle w:val="Normal"/>
            </w:pPr>
            <w:r>
              <w:t>BMI pregravidico basso (&lt;18,5), n (%)</w:t>
            </w:r>
          </w:p>
        </w:tc>
        <w:tc>
          <w:p>
            <w:pPr>
              <w:pStyle w:val="Normal"/>
            </w:pPr>
            <w:r>
              <w:t>221 (39,5%)</w:t>
            </w:r>
          </w:p>
        </w:tc>
        <w:tc>
          <w:p>
            <w:pPr>
              <w:pStyle w:val="Normal"/>
            </w:pPr>
            <w:r>
              <w:t>250 (41,7%)</w:t>
            </w:r>
          </w:p>
        </w:tc>
        <w:tc>
          <w:p>
            <w:pPr>
              <w:pStyle w:val="Normal"/>
            </w:pPr>
            <w:r>
              <w:t>196 (36,7%)</w:t>
            </w:r>
          </w:p>
        </w:tc>
        <w:tc>
          <w:p>
            <w:pPr>
              <w:pStyle w:val="Normal"/>
            </w:pPr>
            <w:r>
              <w:t>215 (38,6%)</w:t>
            </w:r>
          </w:p>
        </w:tc>
        <w:tc>
          <w:p>
            <w:pPr>
              <w:pStyle w:val="Normal"/>
            </w:pPr>
            <w:r>
              <w:t>204 (37,0%)</w:t>
            </w:r>
          </w:p>
        </w:tc>
        <w:tc>
          <w:p>
            <w:pPr>
              <w:pStyle w:val="Normal"/>
            </w:pPr>
            <w:r>
              <w:t>212 (37,7%)</w:t>
            </w:r>
          </w:p>
        </w:tc>
        <w:tc>
          <w:p>
            <w:pPr>
              <w:pStyle w:val="Normal"/>
            </w:pPr>
            <w:r>
              <w:t>196 (37,8%)</w:t>
            </w:r>
          </w:p>
        </w:tc>
        <w:tc>
          <w:p>
            <w:pPr>
              <w:pStyle w:val="Normal"/>
            </w:pPr>
            <w:r>
              <w:t>210 (37,5%)</w:t>
            </w:r>
          </w:p>
        </w:tc>
        <w:tc>
          <w:p>
            <w:pPr>
              <w:pStyle w:val="Normal"/>
            </w:pPr>
            <w:r>
              <w:t>215 (38,5%)</w:t>
            </w:r>
          </w:p>
        </w:tc>
      </w:tr>
      <w:tr>
        <w:tc>
          <w:p>
            <w:pPr>
              <w:pStyle w:val="Normal"/>
            </w:pPr>
            <w:r>
              <w:t>BMI pregravidico medio (18,5-24,9), n (%)</w:t>
            </w:r>
          </w:p>
        </w:tc>
        <w:tc>
          <w:p>
            <w:pPr>
              <w:pStyle w:val="Normal"/>
            </w:pPr>
            <w:r>
              <w:t>222 (39,6%)</w:t>
            </w:r>
          </w:p>
        </w:tc>
        <w:tc>
          <w:p>
            <w:pPr>
              <w:pStyle w:val="Normal"/>
            </w:pPr>
            <w:r>
              <w:t>203 (33,9%)</w:t>
            </w:r>
          </w:p>
        </w:tc>
        <w:tc>
          <w:p>
            <w:pPr>
              <w:pStyle w:val="Normal"/>
            </w:pPr>
            <w:r>
              <w:t>184 (34,5%)</w:t>
            </w:r>
          </w:p>
        </w:tc>
        <w:tc>
          <w:p>
            <w:pPr>
              <w:pStyle w:val="Normal"/>
            </w:pPr>
            <w:r>
              <w:t>192 (34,5%)</w:t>
            </w:r>
          </w:p>
        </w:tc>
        <w:tc>
          <w:p>
            <w:pPr>
              <w:pStyle w:val="Normal"/>
            </w:pPr>
            <w:r>
              <w:t>204 (37,0%)</w:t>
            </w:r>
          </w:p>
        </w:tc>
        <w:tc>
          <w:p>
            <w:pPr>
              <w:pStyle w:val="Normal"/>
            </w:pPr>
            <w:r>
              <w:t>204 (36,2%)</w:t>
            </w:r>
          </w:p>
        </w:tc>
        <w:tc>
          <w:p>
            <w:pPr>
              <w:pStyle w:val="Normal"/>
            </w:pPr>
            <w:r>
              <w:t>195 (37,6%)</w:t>
            </w:r>
          </w:p>
        </w:tc>
        <w:tc>
          <w:p>
            <w:pPr>
              <w:pStyle w:val="Normal"/>
            </w:pPr>
            <w:r>
              <w:t>211 (37,7%)</w:t>
            </w:r>
          </w:p>
        </w:tc>
        <w:tc>
          <w:p>
            <w:pPr>
              <w:pStyle w:val="Normal"/>
            </w:pPr>
            <w:r>
              <w:t>214 (38,4%)</w:t>
            </w:r>
          </w:p>
        </w:tc>
      </w:tr>
      <w:tr>
        <w:tc>
          <w:p>
            <w:pPr>
              <w:pStyle w:val="Normal"/>
            </w:pPr>
            <w:r>
              <w:t>BMI pregravidico alto (&gt;24,9), n (%)</w:t>
            </w:r>
          </w:p>
        </w:tc>
        <w:tc>
          <w:p>
            <w:pPr>
              <w:pStyle w:val="Normal"/>
            </w:pPr>
            <w:r>
              <w:t>117 (20,9%)</w:t>
            </w:r>
          </w:p>
        </w:tc>
        <w:tc>
          <w:p>
            <w:pPr>
              <w:pStyle w:val="Normal"/>
            </w:pPr>
            <w:r>
              <w:t>146 (24,4%)</w:t>
            </w:r>
          </w:p>
        </w:tc>
        <w:tc>
          <w:p>
            <w:pPr>
              <w:pStyle w:val="Normal"/>
            </w:pPr>
            <w:r>
              <w:t>154 (28,8%)</w:t>
            </w:r>
          </w:p>
        </w:tc>
        <w:tc>
          <w:p>
            <w:pPr>
              <w:pStyle w:val="Normal"/>
            </w:pPr>
            <w:r>
              <w:t>150 (26,9%)</w:t>
            </w:r>
          </w:p>
        </w:tc>
        <w:tc>
          <w:p>
            <w:pPr>
              <w:pStyle w:val="Normal"/>
            </w:pPr>
            <w:r>
              <w:t>143 (26,0%)</w:t>
            </w:r>
          </w:p>
        </w:tc>
        <w:tc>
          <w:p>
            <w:pPr>
              <w:pStyle w:val="Normal"/>
            </w:pPr>
            <w:r>
              <w:t>147 (26,1%)</w:t>
            </w:r>
          </w:p>
        </w:tc>
        <w:tc>
          <w:p>
            <w:pPr>
              <w:pStyle w:val="Normal"/>
            </w:pPr>
            <w:r>
              <w:t>127 (24,5%)</w:t>
            </w:r>
          </w:p>
        </w:tc>
        <w:tc>
          <w:p>
            <w:pPr>
              <w:pStyle w:val="Normal"/>
            </w:pPr>
            <w:r>
              <w:t>139 (24,8%)</w:t>
            </w:r>
          </w:p>
        </w:tc>
        <w:tc>
          <w:p>
            <w:pPr>
              <w:pStyle w:val="Normal"/>
            </w:pPr>
            <w:r>
              <w:t>129 (23,1%)</w:t>
            </w:r>
          </w:p>
        </w:tc>
      </w:tr>
      <w:tr>
        <w:tc>
          <w:p>
            <w:pPr>
              <w:pStyle w:val="Normal"/>
            </w:pPr>
            <w:r>
              <w:t>Diabete gestazionale, n (%)</w:t>
            </w:r>
          </w:p>
        </w:tc>
        <w:tc>
          <w:p>
            <w:pPr>
              <w:pStyle w:val="Normal"/>
            </w:pPr>
            <w:r>
              <w:t>14 (2,5%)</w:t>
            </w:r>
          </w:p>
        </w:tc>
        <w:tc>
          <w:p>
            <w:pPr>
              <w:pStyle w:val="Normal"/>
            </w:pPr>
            <w:r>
              <w:t>23 (3,8%)</w:t>
            </w:r>
          </w:p>
        </w:tc>
        <w:tc>
          <w:p>
            <w:pPr>
              <w:pStyle w:val="Normal"/>
            </w:pPr>
            <w:r>
              <w:t>17 (3,2%)</w:t>
            </w:r>
          </w:p>
        </w:tc>
        <w:tc>
          <w:p>
            <w:pPr>
              <w:pStyle w:val="Normal"/>
            </w:pPr>
            <w:r>
              <w:t>11 (2,0%)</w:t>
            </w:r>
          </w:p>
        </w:tc>
        <w:tc>
          <w:p>
            <w:pPr>
              <w:pStyle w:val="Normal"/>
            </w:pPr>
            <w:r>
              <w:t>12 (2,2%)</w:t>
            </w:r>
          </w:p>
        </w:tc>
        <w:tc>
          <w:p>
            <w:pPr>
              <w:pStyle w:val="Normal"/>
            </w:pPr>
            <w:r>
              <w:t>20 (3,6%)</w:t>
            </w:r>
          </w:p>
        </w:tc>
        <w:tc>
          <w:p>
            <w:pPr>
              <w:pStyle w:val="Normal"/>
            </w:pPr>
            <w:r>
              <w:t>17 (3,3%)</w:t>
            </w:r>
          </w:p>
        </w:tc>
        <w:tc>
          <w:p>
            <w:pPr>
              <w:pStyle w:val="Normal"/>
            </w:pPr>
            <w:r>
              <w:t>16 (2,9%)</w:t>
            </w:r>
          </w:p>
        </w:tc>
        <w:tc>
          <w:p>
            <w:pPr>
              <w:pStyle w:val="Normal"/>
            </w:pPr>
            <w:r>
              <w:t>23 (4,1%)</w:t>
            </w:r>
          </w:p>
        </w:tc>
      </w:tr>
      <w:tr>
        <w:tc>
          <w:p>
            <w:pPr>
              <w:pStyle w:val="Normal"/>
            </w:pPr>
            <w:r>
              <w:t>Diabete pregravidico, n (%)</w:t>
            </w:r>
          </w:p>
        </w:tc>
        <w:tc>
          <w:p>
            <w:pPr>
              <w:pStyle w:val="Normal"/>
            </w:pPr>
            <w:r>
              <w:t>159 (28,4%)</w:t>
            </w:r>
          </w:p>
        </w:tc>
        <w:tc>
          <w:p>
            <w:pPr>
              <w:pStyle w:val="Normal"/>
            </w:pPr>
            <w:r>
              <w:t>141 (23,5%)</w:t>
            </w:r>
          </w:p>
        </w:tc>
        <w:tc>
          <w:p>
            <w:pPr>
              <w:pStyle w:val="Normal"/>
            </w:pPr>
            <w:r>
              <w:t>123 (23,0%)</w:t>
            </w:r>
          </w:p>
        </w:tc>
        <w:tc>
          <w:p>
            <w:pPr>
              <w:pStyle w:val="Normal"/>
            </w:pPr>
            <w:r>
              <w:t>133 (23,9%)</w:t>
            </w:r>
          </w:p>
        </w:tc>
        <w:tc>
          <w:p>
            <w:pPr>
              <w:pStyle w:val="Normal"/>
            </w:pPr>
            <w:r>
              <w:t>131 (23,8%)</w:t>
            </w:r>
          </w:p>
        </w:tc>
        <w:tc>
          <w:p>
            <w:pPr>
              <w:pStyle w:val="Normal"/>
            </w:pPr>
            <w:r>
              <w:t>146 (25,9%)</w:t>
            </w:r>
          </w:p>
        </w:tc>
        <w:tc>
          <w:p>
            <w:pPr>
              <w:pStyle w:val="Normal"/>
            </w:pPr>
            <w:r>
              <w:t>134 (25,9%)</w:t>
            </w:r>
          </w:p>
        </w:tc>
        <w:tc>
          <w:p>
            <w:pPr>
              <w:pStyle w:val="Normal"/>
            </w:pPr>
            <w:r>
              <w:t>129 (23,0%)</w:t>
            </w:r>
          </w:p>
        </w:tc>
        <w:tc>
          <w:p>
            <w:pPr>
              <w:pStyle w:val="Normal"/>
            </w:pPr>
            <w:r>
              <w:t>123 (22,0%)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2026-09-08T15:40:31Z</dcterms:modified>
  <cp:category/>
</cp:coreProperties>
</file>