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Periodo</w:t>
            </w:r>
          </w:p>
        </w:tc>
        <w:tc>
          <w:p>
            <w:pPr>
              <w:pStyle w:val="Normal"/>
            </w:pPr>
            <w:r>
              <w:t>Pre- Nota 100 AIFA (1ge2016-25gen2022)</w:t>
            </w:r>
          </w:p>
        </w:tc>
        <w:tc>
          <w:p>
            <w:pPr>
              <w:pStyle w:val="Normal"/>
            </w:pPr>
            <w:r>
              <w:t>Nota 100 AIFA (26gen2022-31lug2025)</w:t>
            </w:r>
          </w:p>
        </w:tc>
        <w:tc>
          <w:p>
            <w:pPr>
              <w:pStyle w:val="Normal"/>
            </w:pPr>
            <w:r>
              <w:t>Modifica Nota 100 AIFA(1ago2025-31dic2025)</w:t>
            </w:r>
          </w:p>
        </w:tc>
      </w:tr>
      <w:tr>
        <w:tc>
          <w:p>
            <w:pPr>
              <w:pStyle w:val="Normal"/>
            </w:pPr>
            <w:r>
              <w:t>Totale sottopopolazione CAP</w:t>
            </w:r>
          </w:p>
        </w:tc>
        <w:tc>
          <w:p>
            <w:pPr>
              <w:pStyle w:val="Normal"/>
            </w:pPr>
            <w:r>
              <w:t>1611</w:t>
            </w:r>
          </w:p>
        </w:tc>
        <w:tc>
          <w:p>
            <w:pPr>
              <w:pStyle w:val="Normal"/>
            </w:pPr>
            <w:r>
              <w:t>1698</w:t>
            </w:r>
          </w:p>
        </w:tc>
        <w:tc>
          <w:p>
            <w:pPr>
              <w:pStyle w:val="Normal"/>
            </w:pPr>
            <w:r>
              <w:t>1691</w:t>
            </w:r>
          </w:p>
        </w:tc>
      </w:tr>
      <w:tr>
        <w:tc>
          <w:p>
            <w:pPr>
              <w:pStyle w:val="Normal"/>
            </w:pPr>
            <w:r>
              <w:t>Età alla data indice,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mediana (Q1 - Q3)</w:t>
            </w:r>
          </w:p>
        </w:tc>
        <w:tc>
          <w:p>
            <w:pPr>
              <w:pStyle w:val="Normal"/>
            </w:pPr>
            <w:r>
              <w:t>50 (40 - 60)</w:t>
            </w:r>
          </w:p>
        </w:tc>
        <w:tc>
          <w:p>
            <w:pPr>
              <w:pStyle w:val="Normal"/>
            </w:pPr>
            <w:r>
              <w:t>50 (40 - 61)</w:t>
            </w:r>
          </w:p>
        </w:tc>
        <w:tc>
          <w:p>
            <w:pPr>
              <w:pStyle w:val="Normal"/>
            </w:pPr>
            <w:r>
              <w:t>50 (40 - 59)</w:t>
            </w:r>
          </w:p>
        </w:tc>
      </w:tr>
      <w:tr>
        <w:tc>
          <w:p>
            <w:pPr>
              <w:pStyle w:val="Normal"/>
            </w:pPr>
            <w:r>
              <w:t>Classi età alla data indice</w:t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  <w:tc>
          <w:p>
            <w:pPr>
              <w:pStyle w:val="Normal"/>
            </w:pPr>
            <w:r>
              <w:t/>
            </w:r>
          </w:p>
        </w:tc>
      </w:tr>
      <w:tr>
        <w:tc>
          <w:p>
            <w:pPr>
              <w:pStyle w:val="Normal"/>
            </w:pPr>
            <w:r>
              <w:t>  18-44, n (%)</w:t>
            </w:r>
          </w:p>
        </w:tc>
        <w:tc>
          <w:p>
            <w:pPr>
              <w:pStyle w:val="Normal"/>
            </w:pPr>
            <w:r>
              <w:t>600 (37,2%)</w:t>
            </w:r>
          </w:p>
        </w:tc>
        <w:tc>
          <w:p>
            <w:pPr>
              <w:pStyle w:val="Normal"/>
            </w:pPr>
            <w:r>
              <w:t>591 (34,8%)</w:t>
            </w:r>
          </w:p>
        </w:tc>
        <w:tc>
          <w:p>
            <w:pPr>
              <w:pStyle w:val="Normal"/>
            </w:pPr>
            <w:r>
              <w:t>608 (36,0%)</w:t>
            </w:r>
          </w:p>
        </w:tc>
      </w:tr>
      <w:tr>
        <w:tc>
          <w:p>
            <w:pPr>
              <w:pStyle w:val="Normal"/>
            </w:pPr>
            <w:r>
              <w:t>  45-64, n (%)</w:t>
            </w:r>
          </w:p>
        </w:tc>
        <w:tc>
          <w:p>
            <w:pPr>
              <w:pStyle w:val="Normal"/>
            </w:pPr>
            <w:r>
              <w:t>747 (46,4%)</w:t>
            </w:r>
          </w:p>
        </w:tc>
        <w:tc>
          <w:p>
            <w:pPr>
              <w:pStyle w:val="Normal"/>
            </w:pPr>
            <w:r>
              <w:t>817 (48,1%)</w:t>
            </w:r>
          </w:p>
        </w:tc>
        <w:tc>
          <w:p>
            <w:pPr>
              <w:pStyle w:val="Normal"/>
            </w:pPr>
            <w:r>
              <w:t>833 (49,3%)</w:t>
            </w:r>
          </w:p>
        </w:tc>
      </w:tr>
      <w:tr>
        <w:tc>
          <w:p>
            <w:pPr>
              <w:pStyle w:val="Normal"/>
            </w:pPr>
            <w:r>
              <w:t>BMI pregravidico basso (&lt;18,5), n (%)</w:t>
            </w:r>
          </w:p>
        </w:tc>
        <w:tc>
          <w:p>
            <w:pPr>
              <w:pStyle w:val="Normal"/>
            </w:pPr>
            <w:r>
              <w:t>593 (36,8%)</w:t>
            </w:r>
          </w:p>
        </w:tc>
        <w:tc>
          <w:p>
            <w:pPr>
              <w:pStyle w:val="Normal"/>
            </w:pPr>
            <w:r>
              <w:t>627 (36,9%)</w:t>
            </w:r>
          </w:p>
        </w:tc>
        <w:tc>
          <w:p>
            <w:pPr>
              <w:pStyle w:val="Normal"/>
            </w:pPr>
            <w:r>
              <w:t>622 (36,8%)</w:t>
            </w:r>
          </w:p>
        </w:tc>
      </w:tr>
      <w:tr>
        <w:tc>
          <w:p>
            <w:pPr>
              <w:pStyle w:val="Normal"/>
            </w:pPr>
            <w:r>
              <w:t>BMI pregravidico medio (18,5-24,9), n (%)</w:t>
            </w:r>
          </w:p>
        </w:tc>
        <w:tc>
          <w:p>
            <w:pPr>
              <w:pStyle w:val="Normal"/>
            </w:pPr>
            <w:r>
              <w:t>452 (28,1%)</w:t>
            </w:r>
          </w:p>
        </w:tc>
        <w:tc>
          <w:p>
            <w:pPr>
              <w:pStyle w:val="Normal"/>
            </w:pPr>
            <w:r>
              <w:t>465 (27,4%)</w:t>
            </w:r>
          </w:p>
        </w:tc>
        <w:tc>
          <w:p>
            <w:pPr>
              <w:pStyle w:val="Normal"/>
            </w:pPr>
            <w:r>
              <w:t>492 (29,1%)</w:t>
            </w:r>
          </w:p>
        </w:tc>
      </w:tr>
      <w:tr>
        <w:tc>
          <w:p>
            <w:pPr>
              <w:pStyle w:val="Normal"/>
            </w:pPr>
            <w:r>
              <w:t>BMI pregravidico alto (&gt;24,9), n (%)</w:t>
            </w:r>
          </w:p>
        </w:tc>
        <w:tc>
          <w:p>
            <w:pPr>
              <w:pStyle w:val="Normal"/>
            </w:pPr>
            <w:r>
              <w:t>566 (35,1%)</w:t>
            </w:r>
          </w:p>
        </w:tc>
        <w:tc>
          <w:p>
            <w:pPr>
              <w:pStyle w:val="Normal"/>
            </w:pPr>
            <w:r>
              <w:t>606 (35,7%)</w:t>
            </w:r>
          </w:p>
        </w:tc>
        <w:tc>
          <w:p>
            <w:pPr>
              <w:pStyle w:val="Normal"/>
            </w:pPr>
            <w:r>
              <w:t>577 (34,1%)</w:t>
            </w:r>
          </w:p>
        </w:tc>
      </w:tr>
      <w:tr>
        <w:tc>
          <w:p>
            <w:pPr>
              <w:pStyle w:val="Normal"/>
            </w:pPr>
            <w:r>
              <w:t>Diabete gestazionale, n (%)</w:t>
            </w:r>
          </w:p>
        </w:tc>
        <w:tc>
          <w:p>
            <w:pPr>
              <w:pStyle w:val="Normal"/>
            </w:pPr>
            <w:r>
              <w:t>412 (25,6%)</w:t>
            </w:r>
          </w:p>
        </w:tc>
        <w:tc>
          <w:p>
            <w:pPr>
              <w:pStyle w:val="Normal"/>
            </w:pPr>
            <w:r>
              <w:t>416 (24,5%)</w:t>
            </w:r>
          </w:p>
        </w:tc>
        <w:tc>
          <w:p>
            <w:pPr>
              <w:pStyle w:val="Normal"/>
            </w:pPr>
            <w:r>
              <w:t>407 (24,1%)</w:t>
            </w:r>
          </w:p>
        </w:tc>
      </w:tr>
      <w:tr>
        <w:tc>
          <w:p>
            <w:pPr>
              <w:pStyle w:val="Normal"/>
            </w:pPr>
            <w:r>
              <w:t>Diabete pregravidico, n (%)</w:t>
            </w:r>
          </w:p>
        </w:tc>
        <w:tc>
          <w:p>
            <w:pPr>
              <w:pStyle w:val="Normal"/>
            </w:pPr>
            <w:r>
              <w:t>1.147 (71,2%)</w:t>
            </w:r>
          </w:p>
        </w:tc>
        <w:tc>
          <w:p>
            <w:pPr>
              <w:pStyle w:val="Normal"/>
            </w:pPr>
            <w:r>
              <w:t>1.266 (74,6%)</w:t>
            </w:r>
          </w:p>
        </w:tc>
        <w:tc>
          <w:p>
            <w:pPr>
              <w:pStyle w:val="Normal"/>
            </w:pPr>
            <w:r>
              <w:t>1.207 (71,4%)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2026-09-08T15:42:13Z</dcterms:modified>
  <cp:category/>
</cp:coreProperties>
</file>