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Soggetti con almeno un farmaco nella storia e un observation period che overlappa lo study period</w:t>
            </w:r>
          </w:p>
        </w:tc>
        <w:tc>
          <w:p>
            <w:pPr>
              <w:pStyle w:val="Normal"/>
            </w:pPr>
            <w:r>
              <w:t>5000</w:t>
            </w:r>
          </w:p>
        </w:tc>
      </w:tr>
      <w:tr>
        <w:tc>
          <w:p>
            <w:pPr>
              <w:pStyle w:val="Normal"/>
            </w:pPr>
            <w:r>
              <w:t>Totale soggetti registrati in anagrafe sanitaria per almeno un giorno tra il 01/01/2016 e il 31/12/2025</w:t>
            </w:r>
          </w:p>
        </w:tc>
        <w:tc>
          <w:p>
            <w:pPr>
              <w:pStyle w:val="Normal"/>
            </w:pPr>
            <w:r>
              <w:t>4.002 (80,0%)</w:t>
            </w:r>
          </w:p>
        </w:tc>
      </w:tr>
      <w:tr>
        <w:tc>
          <w:p>
            <w:pPr>
              <w:pStyle w:val="Normal"/>
            </w:pPr>
            <w:r>
              <w:t>Soggetti con un periodo di osservazione</w:t>
            </w:r>
          </w:p>
        </w:tc>
        <w:tc>
          <w:p>
            <w:pPr>
              <w:pStyle w:val="Normal"/>
            </w:pPr>
            <w:r>
              <w:t>4.000 (80,0%)</w:t>
            </w:r>
          </w:p>
        </w:tc>
      </w:tr>
      <w:tr>
        <w:tc>
          <w:p>
            <w:pPr>
              <w:pStyle w:val="Normal"/>
            </w:pPr>
            <w:r>
              <w:t>Soggetti con un periodo di osservazione coincidente con il periodo di studio</w:t>
            </w:r>
          </w:p>
        </w:tc>
        <w:tc>
          <w:p>
            <w:pPr>
              <w:pStyle w:val="Normal"/>
            </w:pPr>
            <w:r>
              <w:t>4.034 (80,7%)</w:t>
            </w:r>
          </w:p>
        </w:tc>
      </w:tr>
      <w:tr>
        <w:tc>
          <w:p>
            <w:pPr>
              <w:pStyle w:val="Normal"/>
            </w:pPr>
            <w:r>
              <w:t>Soggetti 18+ in almeno un giorno durante il periodo di studio</w:t>
            </w:r>
          </w:p>
        </w:tc>
        <w:tc>
          <w:p>
            <w:pPr>
              <w:pStyle w:val="Normal"/>
            </w:pPr>
            <w:r>
              <w:t>4.010 (80,2%)</w:t>
            </w:r>
          </w:p>
        </w:tc>
      </w:tr>
      <w:tr>
        <w:tc>
          <w:p>
            <w:pPr>
              <w:pStyle w:val="Normal"/>
            </w:pPr>
            <w:r>
              <w:t>Soggetti con almeno una dispensazione del farmaco di interesse nell’istanza</w:t>
            </w:r>
          </w:p>
        </w:tc>
        <w:tc>
          <w:p>
            <w:pPr>
              <w:pStyle w:val="Normal"/>
            </w:pPr>
            <w:r>
              <w:t>3.976 (79,5%)</w:t>
            </w:r>
          </w:p>
        </w:tc>
      </w:tr>
      <w:tr>
        <w:tc>
          <w:p>
            <w:pPr>
              <w:pStyle w:val="Normal"/>
            </w:pPr>
            <w:r>
              <w:t>Soggetti con almeno una dispensazione del farmaco di interesse nel periodo di studio</w:t>
            </w:r>
          </w:p>
        </w:tc>
        <w:tc>
          <w:p>
            <w:pPr>
              <w:pStyle w:val="Normal"/>
            </w:pPr>
            <w:r>
              <w:t>4.041 (80,8%)</w:t>
            </w:r>
          </w:p>
        </w:tc>
      </w:tr>
      <w:tr>
        <w:tc>
          <w:p>
            <w:pPr>
              <w:pStyle w:val="Normal"/>
            </w:pPr>
            <w:r>
              <w:t>Soggetti con almeno 2 anni di osservazione precedenti alla prima data di dispensazione del farmaco di interesse durante il periodo di studio (data indice)</w:t>
            </w:r>
          </w:p>
        </w:tc>
        <w:tc>
          <w:p>
            <w:pPr>
              <w:pStyle w:val="Normal"/>
            </w:pPr>
            <w:r>
              <w:t>4.015 (80,3%)</w:t>
            </w:r>
          </w:p>
        </w:tc>
      </w:tr>
      <w:tr>
        <w:tc>
          <w:p>
            <w:pPr>
              <w:pStyle w:val="Normal"/>
            </w:pPr>
            <w:r>
              <w:t>Soggetti con ASL registrata alla data indice</w:t>
            </w:r>
          </w:p>
        </w:tc>
        <w:tc>
          <w:p>
            <w:pPr>
              <w:pStyle w:val="Normal"/>
            </w:pPr>
            <w:r>
              <w:t>4.042 (80,8%)</w:t>
            </w:r>
          </w:p>
        </w:tc>
      </w:tr>
      <w:tr>
        <w:tc>
          <w:p>
            <w:pPr>
              <w:pStyle w:val="Normal"/>
            </w:pPr>
            <w:r>
              <w:t>Soggetti con nessuna dispensazione del farmaco di interesse precedente alla data indice</w:t>
            </w:r>
          </w:p>
        </w:tc>
        <w:tc>
          <w:p>
            <w:pPr>
              <w:pStyle w:val="Normal"/>
            </w:pPr>
            <w:r>
              <w:t>437 (8,7%)</w:t>
            </w:r>
          </w:p>
        </w:tc>
      </w:tr>
      <w:tr>
        <w:tc>
          <w:p>
            <w:pPr>
              <w:pStyle w:val="Normal"/>
            </w:pPr>
            <w:r>
              <w:t>Totale soggetti inclusi nella coorte di studio</w:t>
            </w:r>
          </w:p>
        </w:tc>
        <w:tc>
          <w:p>
            <w:pPr>
              <w:pStyle w:val="Normal"/>
            </w:pPr>
            <w:r>
              <w:t>842 (16,8%)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2026-09-08T13:33:25Z</dcterms:modified>
  <cp:category/>
</cp:coreProperties>
</file>