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Totale soggetti registrati in anagrafe sanitaria per almeno un giorno tra il 01/01/2016 e il 31/12/2025</w:t>
            </w:r>
          </w:p>
        </w:tc>
        <w:tc>
          <w:p>
            <w:pPr>
              <w:pStyle w:val="Normal"/>
            </w:pPr>
            <w:r>
              <w:t>3.987 (79,7%)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4.048 (81,0%)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3.928 (78,6%)</w:t>
            </w:r>
          </w:p>
        </w:tc>
      </w:tr>
      <w:tr>
        <w:tc>
          <w:p>
            <w:pPr>
              <w:pStyle w:val="Normal"/>
            </w:pPr>
            <w:r>
              <w:t>Soggetti 18+ in almeno un giorno durante il periodo di studio</w:t>
            </w:r>
          </w:p>
        </w:tc>
        <w:tc>
          <w:p>
            <w:pPr>
              <w:pStyle w:val="Normal"/>
            </w:pPr>
            <w:r>
              <w:t>3.947 (78,9%)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nell’istanza</w:t>
            </w:r>
          </w:p>
        </w:tc>
        <w:tc>
          <w:p>
            <w:pPr>
              <w:pStyle w:val="Normal"/>
            </w:pPr>
            <w:r>
              <w:t>3.952 (79,0%)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3.989 (79,8%)</w:t>
            </w:r>
          </w:p>
        </w:tc>
      </w:tr>
      <w:tr>
        <w:tc>
          <w:p>
            <w:pPr>
              <w:pStyle w:val="Normal"/>
            </w:pPr>
            <w:r>
              <w:t>Soggetti con almeno 2 anni di osservazione precedenti alla prima data di dispensazione del farmaco di interesse durante il periodo di studio (data indice)</w:t>
            </w:r>
          </w:p>
        </w:tc>
        <w:tc>
          <w:p>
            <w:pPr>
              <w:pStyle w:val="Normal"/>
            </w:pPr>
            <w:r>
              <w:t>3.946 (78,9%)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3.982 (79,6%)</w:t>
            </w:r>
          </w:p>
        </w:tc>
      </w:tr>
      <w:tr>
        <w:tc>
          <w:p>
            <w:pPr>
              <w:pStyle w:val="Normal"/>
            </w:pPr>
            <w:r>
              <w:t>Soggetti con nessuna dispensazione del farmaco di interesse precedente alla data indice</w:t>
            </w:r>
          </w:p>
        </w:tc>
        <w:tc>
          <w:p>
            <w:pPr>
              <w:pStyle w:val="Normal"/>
            </w:pPr>
            <w:r>
              <w:t>343 (6,9%)</w:t>
            </w:r>
          </w:p>
        </w:tc>
      </w:tr>
      <w:tr>
        <w:tc>
          <w:p>
            <w:pPr>
              <w:pStyle w:val="Normal"/>
            </w:pPr>
            <w:r>
              <w:t>Totale soggetti inclusi nella coorte di studio</w:t>
            </w:r>
          </w:p>
        </w:tc>
        <w:tc>
          <w:p>
            <w:pPr>
              <w:pStyle w:val="Normal"/>
            </w:pPr>
            <w:r>
              <w:t>750 (15,0%)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2026-09-08T13:33:23Z</dcterms:modified>
  <cp:category/>
</cp:coreProperties>
</file>