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Soggetti con almeno un farmaco nella storia e un observation period che overlappa lo study period</w:t>
            </w:r>
          </w:p>
        </w:tc>
        <w:tc>
          <w:p>
            <w:pPr>
              <w:pStyle w:val="Normal"/>
            </w:pPr>
            <w:r>
              <w:t>5000</w:t>
            </w:r>
          </w:p>
        </w:tc>
      </w:tr>
      <w:tr>
        <w:tc>
          <w:p>
            <w:pPr>
              <w:pStyle w:val="Normal"/>
            </w:pPr>
            <w:r>
              <w:t>Totale soggetti registrati in anagrafe sanitaria per almeno un giorno tra il 01/01/2016 e il 31/12/2025</w:t>
            </w:r>
          </w:p>
        </w:tc>
        <w:tc>
          <w:p>
            <w:pPr>
              <w:pStyle w:val="Normal"/>
            </w:pPr>
            <w:r>
              <w:t>4.022 (80,4%)</w:t>
            </w:r>
          </w:p>
        </w:tc>
      </w:tr>
      <w:tr>
        <w:tc>
          <w:p>
            <w:pPr>
              <w:pStyle w:val="Normal"/>
            </w:pPr>
            <w:r>
              <w:t>Soggetti con un periodo di osservazione</w:t>
            </w:r>
          </w:p>
        </w:tc>
        <w:tc>
          <w:p>
            <w:pPr>
              <w:pStyle w:val="Normal"/>
            </w:pPr>
            <w:r>
              <w:t>3.958 (79,2%)</w:t>
            </w:r>
          </w:p>
        </w:tc>
      </w:tr>
      <w:tr>
        <w:tc>
          <w:p>
            <w:pPr>
              <w:pStyle w:val="Normal"/>
            </w:pPr>
            <w:r>
              <w:t>Soggetti con un periodo di osservazione coincidente con il periodo di studio</w:t>
            </w:r>
          </w:p>
        </w:tc>
        <w:tc>
          <w:p>
            <w:pPr>
              <w:pStyle w:val="Normal"/>
            </w:pPr>
            <w:r>
              <w:t>3.986 (79,7%)</w:t>
            </w:r>
          </w:p>
        </w:tc>
      </w:tr>
      <w:tr>
        <w:tc>
          <w:p>
            <w:pPr>
              <w:pStyle w:val="Normal"/>
            </w:pPr>
            <w:r>
              <w:t>Soggetti 18+ in almeno un giorno durante il periodo di studio</w:t>
            </w:r>
          </w:p>
        </w:tc>
        <w:tc>
          <w:p>
            <w:pPr>
              <w:pStyle w:val="Normal"/>
            </w:pPr>
            <w:r>
              <w:t>3.994 (79,9%)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nell’istanza</w:t>
            </w:r>
          </w:p>
        </w:tc>
        <w:tc>
          <w:p>
            <w:pPr>
              <w:pStyle w:val="Normal"/>
            </w:pPr>
            <w:r>
              <w:t>3.966 (79,3%)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 periodo di studio</w:t>
            </w:r>
          </w:p>
        </w:tc>
        <w:tc>
          <w:p>
            <w:pPr>
              <w:pStyle w:val="Normal"/>
            </w:pPr>
            <w:r>
              <w:t>3.981 (79,6%)</w:t>
            </w:r>
          </w:p>
        </w:tc>
      </w:tr>
      <w:tr>
        <w:tc>
          <w:p>
            <w:pPr>
              <w:pStyle w:val="Normal"/>
            </w:pPr>
            <w:r>
              <w:t>Soggetti con almeno 2 anni di osservazione precedenti alla prima data di dispensazione del farmaco di interesse durante il periodo di studio (data indice)</w:t>
            </w:r>
          </w:p>
        </w:tc>
        <w:tc>
          <w:p>
            <w:pPr>
              <w:pStyle w:val="Normal"/>
            </w:pPr>
            <w:r>
              <w:t>3.985 (79,7%)</w:t>
            </w:r>
          </w:p>
        </w:tc>
      </w:tr>
      <w:tr>
        <w:tc>
          <w:p>
            <w:pPr>
              <w:pStyle w:val="Normal"/>
            </w:pPr>
            <w:r>
              <w:t>Soggetti con ASL registrata alla data indice</w:t>
            </w:r>
          </w:p>
        </w:tc>
        <w:tc>
          <w:p>
            <w:pPr>
              <w:pStyle w:val="Normal"/>
            </w:pPr>
            <w:r>
              <w:t>4.031 (80,6%)</w:t>
            </w:r>
          </w:p>
        </w:tc>
      </w:tr>
      <w:tr>
        <w:tc>
          <w:p>
            <w:pPr>
              <w:pStyle w:val="Normal"/>
            </w:pPr>
            <w:r>
              <w:t>Soggetti con nessuna dispensazione del farmaco di interesse precedente alla data indice</w:t>
            </w:r>
          </w:p>
        </w:tc>
        <w:tc>
          <w:p>
            <w:pPr>
              <w:pStyle w:val="Normal"/>
            </w:pPr>
            <w:r>
              <w:t>415 (8,3%)</w:t>
            </w:r>
          </w:p>
        </w:tc>
      </w:tr>
      <w:tr>
        <w:tc>
          <w:p>
            <w:pPr>
              <w:pStyle w:val="Normal"/>
            </w:pPr>
            <w:r>
              <w:t>Totale soggetti inclusi nella coorte di studio</w:t>
            </w:r>
          </w:p>
        </w:tc>
        <w:tc>
          <w:p>
            <w:pPr>
              <w:pStyle w:val="Normal"/>
            </w:pPr>
            <w:r>
              <w:t>832 (16,6%)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2026-09-08T13:33:26Z</dcterms:modified>
  <cp:category/>
</cp:coreProperties>
</file>