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1.428 (28,6%)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4.315 (86,3%)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4.474 (89,5%)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3.975 (79,5%)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2.952 (59,0%)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2026-07-28T16:21:01Z</dcterms:modified>
  <cp:category/>
</cp:coreProperties>
</file>