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Totale popolazione in studio</w:t>
            </w:r>
          </w:p>
        </w:tc>
        <w:tc>
          <w:p>
            <w:pPr>
              <w:pStyle w:val="Normal"/>
            </w:pPr>
            <w:r>
              <w:t>5000</w:t>
            </w:r>
          </w:p>
        </w:tc>
      </w:tr>
      <w:tr>
        <w:tc>
          <w:p>
            <w:pPr>
              <w:pStyle w:val="Normal"/>
            </w:pPr>
            <w:r>
              <w:t>Totale soggetti registrati in anagrafe sanitaria al 1 gennaio di ogni anno tra 2016 e 2025</w:t>
            </w:r>
          </w:p>
        </w:tc>
        <w:tc>
          <w:p>
            <w:pPr>
              <w:pStyle w:val="Normal"/>
            </w:pPr>
            <w:r>
              <w:t>4.128 (82,6%)</w:t>
            </w:r>
          </w:p>
        </w:tc>
      </w:tr>
      <w:tr>
        <w:tc>
          <w:p>
            <w:pPr>
              <w:pStyle w:val="Normal"/>
            </w:pPr>
            <w:r>
              <w:t>Soggetti con una finestra di osservazione</w:t>
            </w:r>
          </w:p>
        </w:tc>
        <w:tc>
          <w:p>
            <w:pPr>
              <w:pStyle w:val="Normal"/>
            </w:pPr>
            <w:r>
              <w:t>1.147 (22,9%)</w:t>
            </w:r>
          </w:p>
        </w:tc>
      </w:tr>
      <w:tr>
        <w:tc>
          <w:p>
            <w:pPr>
              <w:pStyle w:val="Normal"/>
            </w:pPr>
            <w:r>
              <w:t>Soggetti con almeno 2 anni di osservazione precedenti alla data di ingresso nella coorte di studio</w:t>
            </w:r>
          </w:p>
        </w:tc>
        <w:tc>
          <w:p>
            <w:pPr>
              <w:pStyle w:val="Normal"/>
            </w:pPr>
            <w:r>
              <w:t>1.452 (29,0%)</w:t>
            </w:r>
          </w:p>
        </w:tc>
      </w:tr>
      <w:tr>
        <w:tc>
          <w:p>
            <w:pPr>
              <w:pStyle w:val="Normal"/>
            </w:pPr>
            <w:r>
              <w:t>Soggetti con prima dispensazione di farmaci di interesse nel periodo gen2016 - dic2025</w:t>
            </w:r>
          </w:p>
        </w:tc>
        <w:tc>
          <w:p>
            <w:pPr>
              <w:pStyle w:val="Normal"/>
            </w:pPr>
            <w:r>
              <w:t>175 (3,5%)</w:t>
            </w:r>
          </w:p>
        </w:tc>
      </w:tr>
      <w:tr>
        <w:tc>
          <w:p>
            <w:pPr>
              <w:pStyle w:val="Normal"/>
            </w:pPr>
            <w:r>
              <w:t>Soggetti incidenti</w:t>
            </w:r>
          </w:p>
        </w:tc>
        <w:tc>
          <w:p>
            <w:pPr>
              <w:pStyle w:val="Normal"/>
            </w:pPr>
            <w:r>
              <w:t>2.828 (56,6%)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2026-07-28T16:20:58Z</dcterms:modified>
  <cp:category/>
</cp:coreProperties>
</file>