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387 (7,7%)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3.763 (75,3%)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1.204 (24,1%)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973 (19,5%)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1.489 (29,8%)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2026-07-28T16:20:58Z</dcterms:modified>
  <cp:category/>
</cp:coreProperties>
</file>