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639 (12,8%)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2.491 (49,8%)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3.494 (69,9%)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2.297 (45,9%)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2.098 (42,0%)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2026-07-28T16:21:03Z</dcterms:modified>
  <cp:category/>
</cp:coreProperties>
</file>