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3.238 (64,8%)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4.810 (96,2%)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4.262 (85,2%)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1.330 (26,6%)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4.145 (82,9%)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2026-07-28T16:21:00Z</dcterms:modified>
  <cp:category/>
</cp:coreProperties>
</file>