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c>
          <w:p>
            <w:pPr>
              <w:pStyle w:val="Normal"/>
            </w:pPr>
            <w:r>
              <w:t>Categoria di utilizzatore</w:t>
            </w:r>
          </w:p>
        </w:tc>
        <w:tc>
          <w:p>
            <w:pPr>
              <w:pStyle w:val="Normal"/>
            </w:pPr>
            <w:r>
              <w:t>Prima linea</w:t>
            </w:r>
          </w:p>
        </w:tc>
        <w:tc>
          <w:p>
            <w:pPr>
              <w:pStyle w:val="Normal"/>
            </w:pPr>
            <w:r>
              <w:t>Nuovi utilizzatori non prima linea</w:t>
            </w:r>
          </w:p>
        </w:tc>
      </w:tr>
      <w:tr>
        <w:tc>
          <w:p>
            <w:pPr>
              <w:pStyle w:val="Normal"/>
            </w:pPr>
            <w:r>
              <w:t>Totale, n (%)</w:t>
            </w:r>
          </w:p>
        </w:tc>
        <w:tc>
          <w:p>
            <w:pPr>
              <w:pStyle w:val="Normal"/>
            </w:pPr>
            <w:r>
              <w:t>1677</w:t>
            </w:r>
          </w:p>
        </w:tc>
        <w:tc>
          <w:p>
            <w:pPr>
              <w:pStyle w:val="Normal"/>
            </w:pPr>
            <w:r>
              <w:t>1673</w:t>
            </w:r>
          </w:p>
        </w:tc>
      </w:tr>
      <w:tr>
        <w:tc>
          <w:p>
            <w:pPr>
              <w:pStyle w:val="Normal"/>
            </w:pPr>
            <w:r>
              <w:t>Morte, n (%)</w:t>
            </w:r>
          </w:p>
        </w:tc>
        <w:tc>
          <w:p>
            <w:pPr>
              <w:pStyle w:val="Normal"/>
            </w:pPr>
            <w:r>
              <w:t>878 (52,4%)</w:t>
            </w:r>
          </w:p>
        </w:tc>
        <w:tc>
          <w:p>
            <w:pPr>
              <w:pStyle w:val="Normal"/>
            </w:pPr>
            <w:r>
              <w:t>855 (51,1%)</w:t>
            </w:r>
          </w:p>
        </w:tc>
      </w:tr>
      <w:tr>
        <w:tc>
          <w:p>
            <w:pPr>
              <w:pStyle w:val="Normal"/>
            </w:pPr>
            <w:r>
              <w:t>Perdita al follow-up, n (%)</w:t>
            </w:r>
          </w:p>
        </w:tc>
        <w:tc>
          <w:p>
            <w:pPr>
              <w:pStyle w:val="Normal"/>
            </w:pPr>
            <w:r>
              <w:t>531 (31,7%)</w:t>
            </w:r>
          </w:p>
        </w:tc>
        <w:tc>
          <w:p>
            <w:pPr>
              <w:pStyle w:val="Normal"/>
            </w:pPr>
            <w:r>
              <w:t>573 (34,2%)</w:t>
            </w:r>
          </w:p>
        </w:tc>
      </w:tr>
      <w:tr>
        <w:tc>
          <w:p>
            <w:pPr>
              <w:pStyle w:val="Normal"/>
            </w:pPr>
            <w:r>
              <w:t>Eventi cardiovascolari, n (%)</w:t>
            </w:r>
          </w:p>
        </w:tc>
        <w:tc>
          <w:p>
            <w:pPr>
              <w:pStyle w:val="Normal"/>
            </w:pPr>
            <w:r>
              <w:t>1.528 (91,1%)</w:t>
            </w:r>
          </w:p>
        </w:tc>
        <w:tc>
          <w:p>
            <w:pPr>
              <w:pStyle w:val="Normal"/>
            </w:pPr>
            <w:r>
              <w:t>1.507 (90,1%)</w:t>
            </w:r>
          </w:p>
        </w:tc>
      </w:tr>
      <w:tr>
        <w:tc>
          <w:p>
            <w:pPr>
              <w:pStyle w:val="Normal"/>
            </w:pPr>
            <w:r>
              <w:t>Infarto miocardico, n (%)</w:t>
            </w:r>
          </w:p>
        </w:tc>
        <w:tc>
          <w:p>
            <w:pPr>
              <w:pStyle w:val="Normal"/>
            </w:pPr>
            <w:r>
              <w:t>354 (21,1%)</w:t>
            </w:r>
          </w:p>
        </w:tc>
        <w:tc>
          <w:p>
            <w:pPr>
              <w:pStyle w:val="Normal"/>
            </w:pPr>
            <w:r>
              <w:t>314 (18,8%)</w:t>
            </w:r>
          </w:p>
        </w:tc>
      </w:tr>
      <w:tr>
        <w:tc>
          <w:p>
            <w:pPr>
              <w:pStyle w:val="Normal"/>
            </w:pPr>
            <w:r>
              <w:t>Cardiopatia ischemica, n (%)</w:t>
            </w:r>
          </w:p>
        </w:tc>
        <w:tc>
          <w:p>
            <w:pPr>
              <w:pStyle w:val="Normal"/>
            </w:pPr>
            <w:r>
              <w:t>468 (27,9%)</w:t>
            </w:r>
          </w:p>
        </w:tc>
        <w:tc>
          <w:p>
            <w:pPr>
              <w:pStyle w:val="Normal"/>
            </w:pPr>
            <w:r>
              <w:t>508 (30,4%)</w:t>
            </w:r>
          </w:p>
        </w:tc>
      </w:tr>
      <w:tr>
        <w:tc>
          <w:p>
            <w:pPr>
              <w:pStyle w:val="Normal"/>
            </w:pPr>
            <w:r>
              <w:t>Ictus ischemico o emorragico, n (%)</w:t>
            </w:r>
          </w:p>
        </w:tc>
        <w:tc>
          <w:p>
            <w:pPr>
              <w:pStyle w:val="Normal"/>
            </w:pPr>
            <w:r>
              <w:t>825 (49,2%)</w:t>
            </w:r>
          </w:p>
        </w:tc>
        <w:tc>
          <w:p>
            <w:pPr>
              <w:pStyle w:val="Normal"/>
            </w:pPr>
            <w:r>
              <w:t>816 (48,8%)</w:t>
            </w:r>
          </w:p>
        </w:tc>
      </w:tr>
      <w:tr>
        <w:tc>
          <w:p>
            <w:pPr>
              <w:pStyle w:val="Normal"/>
            </w:pPr>
            <w:r>
              <w:t>Scompenso cardiaco, n (%)</w:t>
            </w:r>
          </w:p>
        </w:tc>
        <w:tc>
          <w:p>
            <w:pPr>
              <w:pStyle w:val="Normal"/>
            </w:pPr>
            <w:r>
              <w:t>192 (11,4%)</w:t>
            </w:r>
          </w:p>
        </w:tc>
        <w:tc>
          <w:p>
            <w:pPr>
              <w:pStyle w:val="Normal"/>
            </w:pPr>
            <w:r>
              <w:t>195 (11,7%)</w:t>
            </w:r>
          </w:p>
        </w:tc>
      </w:tr>
      <w:tr>
        <w:tc>
          <w:p>
            <w:pPr>
              <w:pStyle w:val="Normal"/>
            </w:pPr>
            <w:r>
              <w:t>Angina, n (%)</w:t>
            </w:r>
          </w:p>
        </w:tc>
        <w:tc>
          <w:p>
            <w:pPr>
              <w:pStyle w:val="Normal"/>
            </w:pPr>
            <w:r>
              <w:t>473 (28,2%)</w:t>
            </w:r>
          </w:p>
        </w:tc>
        <w:tc>
          <w:p>
            <w:pPr>
              <w:pStyle w:val="Normal"/>
            </w:pPr>
            <w:r>
              <w:t>510 (30,5%)</w:t>
            </w:r>
          </w:p>
        </w:tc>
      </w:tr>
      <w:tr>
        <w:tc>
          <w:p>
            <w:pPr>
              <w:pStyle w:val="Normal"/>
            </w:pPr>
            <w:r>
              <w:t>Aritmie, n (%)</w:t>
            </w:r>
          </w:p>
        </w:tc>
        <w:tc>
          <w:p>
            <w:pPr>
              <w:pStyle w:val="Normal"/>
            </w:pPr>
            <w:r>
              <w:t>721 (43,0%)</w:t>
            </w:r>
          </w:p>
        </w:tc>
        <w:tc>
          <w:p>
            <w:pPr>
              <w:pStyle w:val="Normal"/>
            </w:pPr>
            <w:r>
              <w:t>719 (43,0%)</w:t>
            </w:r>
          </w:p>
        </w:tc>
      </w:tr>
      <w:tr>
        <w:tc>
          <w:p>
            <w:pPr>
              <w:pStyle w:val="Normal"/>
            </w:pPr>
            <w:r>
              <w:t>Insufficienza renale acuta, n (%)</w:t>
            </w:r>
          </w:p>
        </w:tc>
        <w:tc>
          <w:p>
            <w:pPr>
              <w:pStyle w:val="Normal"/>
            </w:pPr>
            <w:r>
              <w:t>1.023 (61,0%)</w:t>
            </w:r>
          </w:p>
        </w:tc>
        <w:tc>
          <w:p>
            <w:pPr>
              <w:pStyle w:val="Normal"/>
            </w:pPr>
            <w:r>
              <w:t>1.013 (60,5%)</w:t>
            </w:r>
          </w:p>
        </w:tc>
      </w:tr>
      <w:tr>
        <w:tc>
          <w:p>
            <w:pPr>
              <w:pStyle w:val="Normal"/>
            </w:pPr>
            <w:r>
              <w:t>Insufficienza epatica acuta, n (%)</w:t>
            </w:r>
          </w:p>
        </w:tc>
        <w:tc>
          <w:p>
            <w:pPr>
              <w:pStyle w:val="Normal"/>
            </w:pPr>
            <w:r>
              <w:t>756 (45,1%)</w:t>
            </w:r>
          </w:p>
        </w:tc>
        <w:tc>
          <w:p>
            <w:pPr>
              <w:pStyle w:val="Normal"/>
            </w:pPr>
            <w:r>
              <w:t>744 (44,5%)</w:t>
            </w:r>
          </w:p>
        </w:tc>
      </w:tr>
      <w:tr>
        <w:tc>
          <w:p>
            <w:pPr>
              <w:pStyle w:val="Normal"/>
            </w:pPr>
            <w:r>
              <w:t>Fratture, n (%)</w:t>
            </w:r>
          </w:p>
        </w:tc>
        <w:tc>
          <w:p>
            <w:pPr>
              <w:pStyle w:val="Normal"/>
            </w:pPr>
            <w:r>
              <w:t>889 (53,0%)</w:t>
            </w:r>
          </w:p>
        </w:tc>
        <w:tc>
          <w:p>
            <w:pPr>
              <w:pStyle w:val="Normal"/>
            </w:pPr>
            <w:r>
              <w:t>900 (53,8%)</w:t>
            </w:r>
          </w:p>
        </w:tc>
      </w:tr>
    </w:tbl>
    <w:p>
      <w:pPr>
        <w:sectPr>
          <w:pgMar w:header="708" w:bottom="1417" w:top="1417" w:right="1417" w:left="1417" w:footer="708" w:gutter="0"/>
          <w:pgSz w:h="16838" w:w="11906" w:orient="portrait"/>
          <w:type w:val="continuous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2026-09-16T12:51:12Z</dcterms:modified>
  <cp:category/>
</cp:coreProperties>
</file>