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Soggetti con almeno un farmaco nella storia e un observation period che overlappa lo study period</w:t>
            </w:r>
          </w:p>
        </w:tc>
        <w:tc>
          <w:p>
            <w:pPr>
              <w:pStyle w:val="Normal"/>
            </w:pPr>
            <w:r>
              <w:t>5000</w:t>
            </w:r>
          </w:p>
        </w:tc>
      </w:tr>
      <w:tr>
        <w:tc>
          <w:p>
            <w:pPr>
              <w:pStyle w:val="Normal"/>
            </w:pPr>
            <w:r>
              <w:t>Soggetti registrati in anagrafe sanitaria regionale per almeno un giorno tra il 01/01/2016 e il 31/12/2025
con data di nascita e sesso compilati e validi</w:t>
            </w:r>
          </w:p>
        </w:tc>
        <w:tc>
          <w:p>
            <w:pPr>
              <w:pStyle w:val="Normal"/>
            </w:pPr>
            <w:r>
              <w:t>4.024 (80,5%)</w:t>
            </w:r>
          </w:p>
        </w:tc>
      </w:tr>
      <w:tr>
        <w:tc>
          <w:p>
            <w:pPr>
              <w:pStyle w:val="Normal"/>
            </w:pPr>
            <w:r>
              <w:t>Soggetti con un periodo di osservazione</w:t>
            </w:r>
          </w:p>
        </w:tc>
        <w:tc>
          <w:p>
            <w:pPr>
              <w:pStyle w:val="Normal"/>
            </w:pPr>
            <w:r>
              <w:t>3.974 (79,5%)</w:t>
            </w:r>
          </w:p>
        </w:tc>
      </w:tr>
      <w:tr>
        <w:tc>
          <w:p>
            <w:pPr>
              <w:pStyle w:val="Normal"/>
            </w:pPr>
            <w:r>
              <w:t>Soggetti con un periodo di osservazione coincidente con il periodo di studio</w:t>
            </w:r>
          </w:p>
        </w:tc>
        <w:tc>
          <w:p>
            <w:pPr>
              <w:pStyle w:val="Normal"/>
            </w:pPr>
            <w:r>
              <w:t>3.991 (79,8%)</w:t>
            </w:r>
          </w:p>
        </w:tc>
      </w:tr>
      <w:tr>
        <w:tc>
          <w:p>
            <w:pPr>
              <w:pStyle w:val="Normal"/>
            </w:pPr>
            <w:r>
              <w:t>Soggetti di età ≥18 anni alla prima data di dispensazione di uno dei farmaci di interesse durante il periodo di studio (data indice)</w:t>
            </w:r>
          </w:p>
        </w:tc>
        <w:tc>
          <w:p>
            <w:pPr>
              <w:pStyle w:val="Normal"/>
            </w:pPr>
            <w:r>
              <w:t>4.040 (80,8%)</w:t>
            </w:r>
          </w:p>
        </w:tc>
      </w:tr>
      <w:tr>
        <w:tc>
          <w:p>
            <w:pPr>
              <w:pStyle w:val="Normal"/>
            </w:pPr>
            <w:r>
              <w:t>Soggetti con almeno una dispensazione del farmaco di interesse nell'istanza</w:t>
            </w:r>
          </w:p>
        </w:tc>
        <w:tc>
          <w:p>
            <w:pPr>
              <w:pStyle w:val="Normal"/>
            </w:pPr>
            <w:r>
              <w:t>4.034 (80,7%)</w:t>
            </w:r>
          </w:p>
        </w:tc>
      </w:tr>
      <w:tr>
        <w:tc>
          <w:p>
            <w:pPr>
              <w:pStyle w:val="Normal"/>
            </w:pPr>
            <w:r>
              <w:t>Soggetti con almeno una dispensazione del farmaco di interesse nel periodo di studio</w:t>
            </w:r>
          </w:p>
        </w:tc>
        <w:tc>
          <w:p>
            <w:pPr>
              <w:pStyle w:val="Normal"/>
            </w:pPr>
            <w:r>
              <w:t>3.999 (80,0%)</w:t>
            </w:r>
          </w:p>
        </w:tc>
      </w:tr>
      <w:tr>
        <w:tc>
          <w:p>
            <w:pPr>
              <w:pStyle w:val="Normal"/>
            </w:pPr>
            <w:r>
              <w:t>Soggetti con almeno 24 mesi di osservazione disponibili prima della data indice</w:t>
            </w:r>
          </w:p>
        </w:tc>
        <w:tc>
          <w:p>
            <w:pPr>
              <w:pStyle w:val="Normal"/>
            </w:pPr>
            <w:r>
              <w:t>4.032 (80,6%)</w:t>
            </w:r>
          </w:p>
        </w:tc>
      </w:tr>
      <w:tr>
        <w:tc>
          <w:p>
            <w:pPr>
              <w:pStyle w:val="Normal"/>
            </w:pPr>
            <w:r>
              <w:t>Soggetti con ASL registrata alla data indice</w:t>
            </w:r>
          </w:p>
        </w:tc>
        <w:tc>
          <w:p>
            <w:pPr>
              <w:pStyle w:val="Normal"/>
            </w:pPr>
            <w:r>
              <w:t>3.960 (79,2%)</w:t>
            </w:r>
          </w:p>
        </w:tc>
      </w:tr>
      <w:tr>
        <w:tc>
          <w:p>
            <w:pPr>
              <w:pStyle w:val="Normal"/>
            </w:pPr>
            <w:r>
              <w:t>Totale soggetti inclusi nello studio</w:t>
            </w:r>
          </w:p>
        </w:tc>
        <w:tc>
          <w:p>
            <w:pPr>
              <w:pStyle w:val="Normal"/>
            </w:pPr>
            <w:r>
              <w:t>858 (17,2%)</w:t>
            </w:r>
          </w:p>
        </w:tc>
      </w:tr>
      <w:tr>
        <w:tc>
          <w:p>
            <w:pPr>
              <w:pStyle w:val="Normal"/>
            </w:pPr>
            <w:r>
              <w:t>Composizione della coorte in studio</w:t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1)	Nuovi utilizzatori in prima linea</w:t>
            </w:r>
          </w:p>
        </w:tc>
        <w:tc>
          <w:p>
            <w:pPr>
              <w:pStyle w:val="Normal"/>
            </w:pPr>
            <w:r>
              <w:t>319 (6,4%)</w:t>
            </w:r>
          </w:p>
        </w:tc>
      </w:tr>
      <w:tr>
        <w:tc>
          <w:p>
            <w:pPr>
              <w:pStyle w:val="Normal"/>
            </w:pPr>
            <w:r>
              <w:t>2)	Nuovi utilizzatori non in prima linea</w:t>
            </w:r>
          </w:p>
        </w:tc>
        <w:tc>
          <w:p>
            <w:pPr>
              <w:pStyle w:val="Normal"/>
            </w:pPr>
            <w:r>
              <w:t>279 (5,6%)</w:t>
            </w:r>
          </w:p>
        </w:tc>
      </w:tr>
      <w:tr>
        <w:tc>
          <w:p>
            <w:pPr>
              <w:pStyle w:val="Normal"/>
            </w:pPr>
            <w:r>
              <w:t>3)	Utilizzatori già in trattamento</w:t>
            </w:r>
          </w:p>
        </w:tc>
        <w:tc>
          <w:p>
            <w:pPr>
              <w:pStyle w:val="Normal"/>
            </w:pPr>
            <w:r>
              <w:t>260 (5,2%)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2026-09-15T15:09:10Z</dcterms:modified>
  <cp:category/>
</cp:coreProperties>
</file>