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Soggetti registrati in anagrafe sanitaria regionale per almeno un giorno tra il 01/01/2016 e il 31/12/2025
con data di nascita e sesso compilati e validi</w:t>
            </w:r>
          </w:p>
        </w:tc>
        <w:tc>
          <w:p>
            <w:pPr>
              <w:pStyle w:val="Normal"/>
            </w:pPr>
            <w:r>
              <w:t>4.002 (80,0%)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4.000 (80,0%)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4.034 (80,7%)</w:t>
            </w:r>
          </w:p>
        </w:tc>
      </w:tr>
      <w:tr>
        <w:tc>
          <w:p>
            <w:pPr>
              <w:pStyle w:val="Normal"/>
            </w:pPr>
            <w:r>
              <w:t>Soggetti di età ≥18 anni alla prima data di dispensazione di uno dei farmaci di interesse durante il periodo di studio (data indice)</w:t>
            </w:r>
          </w:p>
        </w:tc>
        <w:tc>
          <w:p>
            <w:pPr>
              <w:pStyle w:val="Normal"/>
            </w:pPr>
            <w:r>
              <w:t>4.010 (80,2%)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nell'istanza</w:t>
            </w:r>
          </w:p>
        </w:tc>
        <w:tc>
          <w:p>
            <w:pPr>
              <w:pStyle w:val="Normal"/>
            </w:pPr>
            <w:r>
              <w:t>3.976 (79,5%)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4.041 (80,8%)</w:t>
            </w:r>
          </w:p>
        </w:tc>
      </w:tr>
      <w:tr>
        <w:tc>
          <w:p>
            <w:pPr>
              <w:pStyle w:val="Normal"/>
            </w:pPr>
            <w:r>
              <w:t>Soggetti con almeno 24 mesi di osservazione disponibili prima della data indice</w:t>
            </w:r>
          </w:p>
        </w:tc>
        <w:tc>
          <w:p>
            <w:pPr>
              <w:pStyle w:val="Normal"/>
            </w:pPr>
            <w:r>
              <w:t>4.015 (80,3%)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4.042 (80,8%)</w:t>
            </w:r>
          </w:p>
        </w:tc>
      </w:tr>
      <w:tr>
        <w:tc>
          <w:p>
            <w:pPr>
              <w:pStyle w:val="Normal"/>
            </w:pPr>
            <w:r>
              <w:t>Totale soggetti inclusi nello studio</w:t>
            </w:r>
          </w:p>
        </w:tc>
        <w:tc>
          <w:p>
            <w:pPr>
              <w:pStyle w:val="Normal"/>
            </w:pPr>
            <w:r>
              <w:t>842 (16,8%)</w:t>
            </w:r>
          </w:p>
        </w:tc>
      </w:tr>
      <w:tr>
        <w:tc>
          <w:p>
            <w:pPr>
              <w:pStyle w:val="Normal"/>
            </w:pPr>
            <w:r>
              <w:t>Composizione della coorte in studio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1)	Nuovi utilizzatori in prima linea</w:t>
            </w:r>
          </w:p>
        </w:tc>
        <w:tc>
          <w:p>
            <w:pPr>
              <w:pStyle w:val="Normal"/>
            </w:pPr>
            <w:r>
              <w:t>292 (5,8%)</w:t>
            </w:r>
          </w:p>
        </w:tc>
      </w:tr>
      <w:tr>
        <w:tc>
          <w:p>
            <w:pPr>
              <w:pStyle w:val="Normal"/>
            </w:pPr>
            <w:r>
              <w:t>2)	Nuovi utilizzatori non in prima linea</w:t>
            </w:r>
          </w:p>
        </w:tc>
        <w:tc>
          <w:p>
            <w:pPr>
              <w:pStyle w:val="Normal"/>
            </w:pPr>
            <w:r>
              <w:t>289 (5,8%)</w:t>
            </w:r>
          </w:p>
        </w:tc>
      </w:tr>
      <w:tr>
        <w:tc>
          <w:p>
            <w:pPr>
              <w:pStyle w:val="Normal"/>
            </w:pPr>
            <w:r>
              <w:t>3)	Utilizzatori già in trattamento</w:t>
            </w:r>
          </w:p>
        </w:tc>
        <w:tc>
          <w:p>
            <w:pPr>
              <w:pStyle w:val="Normal"/>
            </w:pPr>
            <w:r>
              <w:t>261 (5,2%)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2026-09-15T15:09:11Z</dcterms:modified>
  <cp:category/>
</cp:coreProperties>
</file>