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registrati in anagrafe sanitaria regionale per almeno un giorno tra il 01/01/2016 e il 31/12/2025
con data di nascita e sesso compilati e validi</w:t>
            </w:r>
          </w:p>
        </w:tc>
        <w:tc>
          <w:p>
            <w:pPr>
              <w:pStyle w:val="Normal"/>
            </w:pPr>
            <w:r>
              <w:t>3.983 (79,7%)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3.994 (79,9%)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3.983 (79,7%)</w:t>
            </w:r>
          </w:p>
        </w:tc>
      </w:tr>
      <w:tr>
        <w:tc>
          <w:p>
            <w:pPr>
              <w:pStyle w:val="Normal"/>
            </w:pPr>
            <w:r>
              <w:t>Soggetti di età ≥18 anni alla prima data di dispensazione di uno dei farmaci di interesse durante il periodo di studio (data indice)</w:t>
            </w:r>
          </w:p>
        </w:tc>
        <w:tc>
          <w:p>
            <w:pPr>
              <w:pStyle w:val="Normal"/>
            </w:pPr>
            <w:r>
              <w:t>3.992 (79,8%)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nell'istanza</w:t>
            </w:r>
          </w:p>
        </w:tc>
        <w:tc>
          <w:p>
            <w:pPr>
              <w:pStyle w:val="Normal"/>
            </w:pPr>
            <w:r>
              <w:t>4.008 (80,2%)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4.012 (80,2%)</w:t>
            </w:r>
          </w:p>
        </w:tc>
      </w:tr>
      <w:tr>
        <w:tc>
          <w:p>
            <w:pPr>
              <w:pStyle w:val="Normal"/>
            </w:pPr>
            <w:r>
              <w:t>Soggetti con almeno 24 mesi di osservazione disponibili prima della data indice</w:t>
            </w:r>
          </w:p>
        </w:tc>
        <w:tc>
          <w:p>
            <w:pPr>
              <w:pStyle w:val="Normal"/>
            </w:pPr>
            <w:r>
              <w:t>4.031 (80,6%)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3.954 (79,1%)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840 (16,8%)</w:t>
            </w:r>
          </w:p>
        </w:tc>
      </w:tr>
      <w:tr>
        <w:tc>
          <w:p>
            <w:pPr>
              <w:pStyle w:val="Normal"/>
            </w:pPr>
            <w:r>
              <w:t>Composizione della coorte in studio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295 (5,9%)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285 (5,7%)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260 (5,2%)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2026-09-15T15:09:11Z</dcterms:modified>
  <cp:category/>
</cp:coreProperties>
</file>