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ASL</w:t>
            </w:r>
          </w:p>
        </w:tc>
        <w:tc>
          <w:p>
            <w:pPr>
              <w:pStyle w:val="Normal"/>
            </w:pPr>
            <w:r>
              <w:t>CE</w:t>
            </w:r>
          </w:p>
        </w:tc>
        <w:tc>
          <w:p>
            <w:pPr>
              <w:pStyle w:val="Normal"/>
            </w:pPr>
            <w:r>
              <w:t>NO</w:t>
            </w:r>
          </w:p>
        </w:tc>
        <w:tc>
          <w:p>
            <w:pPr>
              <w:pStyle w:val="Normal"/>
            </w:pPr>
            <w:r>
              <w:t>SE</w:t>
            </w:r>
          </w:p>
        </w:tc>
        <w:tc>
          <w:p>
            <w:pPr>
              <w:pStyle w:val="Normal"/>
            </w:pPr>
            <w:r>
              <w:t>Tutte</w:t>
            </w:r>
          </w:p>
        </w:tc>
      </w:tr>
      <w:tr>
        <w:tc>
          <w:p>
            <w:pPr>
              <w:pStyle w:val="Normal"/>
            </w:pPr>
            <w:r>
              <w:t>Totale</w:t>
            </w:r>
          </w:p>
        </w:tc>
        <w:tc>
          <w:p>
            <w:pPr>
              <w:pStyle w:val="Normal"/>
            </w:pPr>
            <w:r>
              <w:t>581</w:t>
            </w:r>
          </w:p>
        </w:tc>
        <w:tc>
          <w:p>
            <w:pPr>
              <w:pStyle w:val="Normal"/>
            </w:pPr>
            <w:r>
              <w:t>555</w:t>
            </w:r>
          </w:p>
        </w:tc>
        <w:tc>
          <w:p>
            <w:pPr>
              <w:pStyle w:val="Normal"/>
            </w:pPr>
            <w:r>
              <w:t>533</w:t>
            </w:r>
          </w:p>
        </w:tc>
        <w:tc>
          <w:p>
            <w:pPr>
              <w:pStyle w:val="Normal"/>
            </w:pPr>
            <w:r>
              <w:t>1669</w:t>
            </w:r>
          </w:p>
        </w:tc>
      </w:tr>
      <w:tr>
        <w:tc>
          <w:p>
            <w:pPr>
              <w:pStyle w:val="Normal"/>
            </w:pPr>
            <w:r>
              <w:t>Donne, n (%)</w:t>
            </w:r>
          </w:p>
        </w:tc>
        <w:tc>
          <w:p>
            <w:pPr>
              <w:pStyle w:val="Normal"/>
            </w:pPr>
            <w:r>
              <w:t>296 (50,9%)</w:t>
            </w:r>
          </w:p>
        </w:tc>
        <w:tc>
          <w:p>
            <w:pPr>
              <w:pStyle w:val="Normal"/>
            </w:pPr>
            <w:r>
              <w:t>274 (49,4%)</w:t>
            </w:r>
          </w:p>
        </w:tc>
        <w:tc>
          <w:p>
            <w:pPr>
              <w:pStyle w:val="Normal"/>
            </w:pPr>
            <w:r>
              <w:t>289 (54,2%)</w:t>
            </w:r>
          </w:p>
        </w:tc>
        <w:tc>
          <w:p>
            <w:pPr>
              <w:pStyle w:val="Normal"/>
            </w:pPr>
            <w:r>
              <w:t>859 (51,5%)</w:t>
            </w:r>
          </w:p>
        </w:tc>
      </w:tr>
      <w:tr>
        <w:tc>
          <w:p>
            <w:pPr>
              <w:pStyle w:val="Normal"/>
            </w:pPr>
            <w:r>
              <w:t>Pazienti in iper-politerapia (≥10 farmaci ATC IV nello stesso mese per 3 mesi su 12)</w:t>
            </w:r>
          </w:p>
        </w:tc>
        <w:tc>
          <w:p>
            <w:pPr>
              <w:pStyle w:val="Normal"/>
            </w:pPr>
            <w:r>
              <w:t>42 (7,2%)</w:t>
            </w:r>
          </w:p>
        </w:tc>
        <w:tc>
          <w:p>
            <w:pPr>
              <w:pStyle w:val="Normal"/>
            </w:pPr>
            <w:r>
              <w:t>40 (7,2%)</w:t>
            </w:r>
          </w:p>
        </w:tc>
        <w:tc>
          <w:p>
            <w:pPr>
              <w:pStyle w:val="Normal"/>
            </w:pPr>
            <w:r>
              <w:t>46 (8,6%)</w:t>
            </w:r>
          </w:p>
        </w:tc>
        <w:tc>
          <w:p>
            <w:pPr>
              <w:pStyle w:val="Normal"/>
            </w:pPr>
            <w:r>
              <w:t>128 (7,7%)</w:t>
            </w:r>
          </w:p>
        </w:tc>
      </w:tr>
      <w:tr>
        <w:tc>
          <w:p>
            <w:pPr>
              <w:pStyle w:val="Normal"/>
            </w:pPr>
            <w:r>
              <w:t>Principi attivi più utilizzati (ATC V livello dispensati ≥ 3 volte in un anno)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A10BH 226 (0,4%)</w:t>
            </w:r>
          </w:p>
        </w:tc>
        <w:tc>
          <w:p>
            <w:pPr>
              <w:pStyle w:val="Normal"/>
            </w:pPr>
            <w:r>
              <w:t>A10BD07 219 (0,4%)</w:t>
            </w:r>
          </w:p>
        </w:tc>
        <w:tc>
          <w:p>
            <w:pPr>
              <w:pStyle w:val="Normal"/>
            </w:pPr>
            <w:r>
              <w:t>A10BD09 202 (0,4%)</w:t>
            </w:r>
          </w:p>
        </w:tc>
        <w:tc>
          <w:p>
            <w:pPr>
              <w:pStyle w:val="Normal"/>
            </w:pPr>
            <w:r>
              <w:t>A10BD07 607 (0,4%)</w:t>
            </w:r>
          </w:p>
        </w:tc>
      </w:tr>
      <w:tr>
        <w:tc>
          <w:p>
            <w:pPr>
              <w:pStyle w:val="Normal"/>
            </w:pPr>
            <w:r>
              <w:t>2</w:t>
            </w:r>
          </w:p>
        </w:tc>
        <w:tc>
          <w:p>
            <w:pPr>
              <w:pStyle w:val="Normal"/>
            </w:pPr>
            <w:r>
              <w:t>A10BD07 218 (0,4%)</w:t>
            </w:r>
          </w:p>
        </w:tc>
        <w:tc>
          <w:p>
            <w:pPr>
              <w:pStyle w:val="Normal"/>
            </w:pPr>
            <w:r>
              <w:t>A10AE56 212 (0,4%)</w:t>
            </w:r>
          </w:p>
        </w:tc>
        <w:tc>
          <w:p>
            <w:pPr>
              <w:pStyle w:val="Normal"/>
            </w:pPr>
            <w:r>
              <w:t>A10AE54 200 (0,4%)</w:t>
            </w:r>
          </w:p>
        </w:tc>
        <w:tc>
          <w:p>
            <w:pPr>
              <w:pStyle w:val="Normal"/>
            </w:pPr>
            <w:r>
              <w:t>A10BD10 603 (0,4%)</w:t>
            </w:r>
          </w:p>
        </w:tc>
      </w:tr>
      <w:tr>
        <w:tc>
          <w:p>
            <w:pPr>
              <w:pStyle w:val="Normal"/>
            </w:pPr>
            <w:r>
              <w:t>3</w:t>
            </w:r>
          </w:p>
        </w:tc>
        <w:tc>
          <w:p>
            <w:pPr>
              <w:pStyle w:val="Normal"/>
            </w:pPr>
            <w:r>
              <w:t>A10BD24 214 (0,4%)</w:t>
            </w:r>
          </w:p>
        </w:tc>
        <w:tc>
          <w:p>
            <w:pPr>
              <w:pStyle w:val="Normal"/>
            </w:pPr>
            <w:r>
              <w:t>A10AE54 209 (0,4%)</w:t>
            </w:r>
          </w:p>
        </w:tc>
        <w:tc>
          <w:p>
            <w:pPr>
              <w:pStyle w:val="Normal"/>
            </w:pPr>
            <w:r>
              <w:t>A10BD10 198 (0,4%)</w:t>
            </w:r>
          </w:p>
        </w:tc>
        <w:tc>
          <w:p>
            <w:pPr>
              <w:pStyle w:val="Normal"/>
            </w:pPr>
            <w:r>
              <w:t>A10BD09 597 (0,4%)</w:t>
            </w:r>
          </w:p>
        </w:tc>
      </w:tr>
      <w:tr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A10BD10 212 (0,4%)</w:t>
            </w:r>
          </w:p>
        </w:tc>
        <w:tc>
          <w:p>
            <w:pPr>
              <w:pStyle w:val="Normal"/>
            </w:pPr>
            <w:r>
              <w:t>A10BD20 204 (0,4%)</w:t>
            </w:r>
          </w:p>
        </w:tc>
        <w:tc>
          <w:p>
            <w:pPr>
              <w:pStyle w:val="Normal"/>
            </w:pPr>
            <w:r>
              <w:t>A10BD13 195 (0,4%)</w:t>
            </w:r>
          </w:p>
        </w:tc>
        <w:tc>
          <w:p>
            <w:pPr>
              <w:pStyle w:val="Normal"/>
            </w:pPr>
            <w:r>
              <w:t>A10AE54 592 (0,4%)</w:t>
            </w:r>
          </w:p>
        </w:tc>
      </w:tr>
      <w:tr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A10AE56 208 (0,4%)</w:t>
            </w:r>
          </w:p>
        </w:tc>
        <w:tc>
          <w:p>
            <w:pPr>
              <w:pStyle w:val="Normal"/>
            </w:pPr>
            <w:r>
              <w:t>A10BJ 203 (0,4%)</w:t>
            </w:r>
          </w:p>
        </w:tc>
        <w:tc>
          <w:p>
            <w:pPr>
              <w:pStyle w:val="Normal"/>
            </w:pPr>
            <w:r>
              <w:t>A10BX16 194 (0,4%)</w:t>
            </w:r>
          </w:p>
        </w:tc>
        <w:tc>
          <w:p>
            <w:pPr>
              <w:pStyle w:val="Normal"/>
            </w:pPr>
            <w:r>
              <w:t>A10BH 590 (0,4%)</w:t>
            </w:r>
          </w:p>
        </w:tc>
      </w:tr>
      <w:tr>
        <w:tc>
          <w:p>
            <w:pPr>
              <w:pStyle w:val="Normal"/>
            </w:pPr>
            <w:r>
              <w:t>Contesto assistenziale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RSA e/o ADI (≥1 giorno durate l’anno)</w:t>
            </w:r>
          </w:p>
        </w:tc>
        <w:tc>
          <w:p>
            <w:pPr>
              <w:pStyle w:val="Normal"/>
            </w:pPr>
            <w:r>
              <w:t>3 (0,5%)</w:t>
            </w:r>
          </w:p>
        </w:tc>
        <w:tc>
          <w:p>
            <w:pPr>
              <w:pStyle w:val="Normal"/>
            </w:pPr>
            <w:r>
              <w:t>5 (0,9%)</w:t>
            </w:r>
          </w:p>
        </w:tc>
        <w:tc>
          <w:p>
            <w:pPr>
              <w:pStyle w:val="Normal"/>
            </w:pPr>
            <w:r>
              <w:t>5 (0,9%)</w:t>
            </w:r>
          </w:p>
        </w:tc>
        <w:tc>
          <w:p>
            <w:pPr>
              <w:pStyle w:val="Normal"/>
            </w:pPr>
            <w:r>
              <w:t>13 (0,8%)</w:t>
            </w:r>
          </w:p>
        </w:tc>
      </w:tr>
      <w:tr>
        <w:tc>
          <w:p>
            <w:pPr>
              <w:pStyle w:val="Normal"/>
            </w:pPr>
            <w:r>
              <w:t>Esenzione per patologia cronica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Cardiocircolatoria</w:t>
            </w:r>
          </w:p>
        </w:tc>
        <w:tc>
          <w:p>
            <w:pPr>
              <w:pStyle w:val="Normal"/>
            </w:pPr>
            <w:r>
              <w:t>367 (63,2%)</w:t>
            </w:r>
          </w:p>
        </w:tc>
        <w:tc>
          <w:p>
            <w:pPr>
              <w:pStyle w:val="Normal"/>
            </w:pPr>
            <w:r>
              <w:t>357 (64,3%)</w:t>
            </w:r>
          </w:p>
        </w:tc>
        <w:tc>
          <w:p>
            <w:pPr>
              <w:pStyle w:val="Normal"/>
            </w:pPr>
            <w:r>
              <w:t>339 (63,6%)</w:t>
            </w:r>
          </w:p>
        </w:tc>
        <w:tc>
          <w:p>
            <w:pPr>
              <w:pStyle w:val="Normal"/>
            </w:pPr>
            <w:r>
              <w:t>1.063 (63,7%)</w:t>
            </w:r>
          </w:p>
        </w:tc>
      </w:tr>
      <w:tr>
        <w:tc>
          <w:p>
            <w:pPr>
              <w:pStyle w:val="Normal"/>
            </w:pPr>
            <w:r>
              <w:t>Reumatologica</w:t>
            </w:r>
          </w:p>
        </w:tc>
        <w:tc>
          <w:p>
            <w:pPr>
              <w:pStyle w:val="Normal"/>
            </w:pPr>
            <w:r>
              <w:t>61 (10,5%)</w:t>
            </w:r>
          </w:p>
        </w:tc>
        <w:tc>
          <w:p>
            <w:pPr>
              <w:pStyle w:val="Normal"/>
            </w:pPr>
            <w:r>
              <w:t>45 (8,1%)</w:t>
            </w:r>
          </w:p>
        </w:tc>
        <w:tc>
          <w:p>
            <w:pPr>
              <w:pStyle w:val="Normal"/>
            </w:pPr>
            <w:r>
              <w:t>63 (11,8%)</w:t>
            </w:r>
          </w:p>
        </w:tc>
        <w:tc>
          <w:p>
            <w:pPr>
              <w:pStyle w:val="Normal"/>
            </w:pPr>
            <w:r>
              <w:t>169 (10,1%)</w:t>
            </w:r>
          </w:p>
        </w:tc>
      </w:tr>
      <w:tr>
        <w:tc>
          <w:p>
            <w:pPr>
              <w:pStyle w:val="Normal"/>
            </w:pPr>
            <w:r>
              <w:t>Gastroenterologica</w:t>
            </w:r>
          </w:p>
        </w:tc>
        <w:tc>
          <w:p>
            <w:pPr>
              <w:pStyle w:val="Normal"/>
            </w:pPr>
            <w:r>
              <w:t>370 (63,7%)</w:t>
            </w:r>
          </w:p>
        </w:tc>
        <w:tc>
          <w:p>
            <w:pPr>
              <w:pStyle w:val="Normal"/>
            </w:pPr>
            <w:r>
              <w:t>353 (63,6%)</w:t>
            </w:r>
          </w:p>
        </w:tc>
        <w:tc>
          <w:p>
            <w:pPr>
              <w:pStyle w:val="Normal"/>
            </w:pPr>
            <w:r>
              <w:t>352 (66,0%)</w:t>
            </w:r>
          </w:p>
        </w:tc>
        <w:tc>
          <w:p>
            <w:pPr>
              <w:pStyle w:val="Normal"/>
            </w:pPr>
            <w:r>
              <w:t>1.075 (64,4%)</w:t>
            </w:r>
          </w:p>
        </w:tc>
      </w:tr>
      <w:tr>
        <w:tc>
          <w:p>
            <w:pPr>
              <w:pStyle w:val="Normal"/>
            </w:pPr>
            <w:r>
              <w:t>≥1 esenzione per qualsiasi malattia cronica</w:t>
            </w:r>
          </w:p>
        </w:tc>
        <w:tc>
          <w:p>
            <w:pPr>
              <w:pStyle w:val="Normal"/>
            </w:pPr>
            <w:r>
              <w:t>268 (46,1%)</w:t>
            </w:r>
          </w:p>
        </w:tc>
        <w:tc>
          <w:p>
            <w:pPr>
              <w:pStyle w:val="Normal"/>
            </w:pPr>
            <w:r>
              <w:t>233 (42,0%)</w:t>
            </w:r>
          </w:p>
        </w:tc>
        <w:tc>
          <w:p>
            <w:pPr>
              <w:pStyle w:val="Normal"/>
            </w:pPr>
            <w:r>
              <w:t>226 (42,4%)</w:t>
            </w:r>
          </w:p>
        </w:tc>
        <w:tc>
          <w:p>
            <w:pPr>
              <w:pStyle w:val="Normal"/>
            </w:pPr>
            <w:r>
              <w:t>727 (43,6%)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2026-09-22T15:06:45Z</dcterms:modified>
  <cp:category/>
</cp:coreProperties>
</file>