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Tutte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507</w:t>
            </w:r>
          </w:p>
        </w:tc>
        <w:tc>
          <w:p>
            <w:pPr>
              <w:pStyle w:val="Normal"/>
            </w:pPr>
            <w:r>
              <w:t>591</w:t>
            </w:r>
          </w:p>
        </w:tc>
        <w:tc>
          <w:p>
            <w:pPr>
              <w:pStyle w:val="Normal"/>
            </w:pPr>
            <w:r>
              <w:t>567</w:t>
            </w:r>
          </w:p>
        </w:tc>
        <w:tc>
          <w:p>
            <w:pPr>
              <w:pStyle w:val="Normal"/>
            </w:pPr>
            <w:r>
              <w:t>1665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248 (48,9%)</w:t>
            </w:r>
          </w:p>
        </w:tc>
        <w:tc>
          <w:p>
            <w:pPr>
              <w:pStyle w:val="Normal"/>
            </w:pPr>
            <w:r>
              <w:t>312 (52,8%)</w:t>
            </w:r>
          </w:p>
        </w:tc>
        <w:tc>
          <w:p>
            <w:pPr>
              <w:pStyle w:val="Normal"/>
            </w:pPr>
            <w:r>
              <w:t>265 (46,7%)</w:t>
            </w:r>
          </w:p>
        </w:tc>
        <w:tc>
          <w:p>
            <w:pPr>
              <w:pStyle w:val="Normal"/>
            </w:pPr>
            <w:r>
              <w:t>825 (49,5%)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39 (7,7%)</w:t>
            </w:r>
          </w:p>
        </w:tc>
        <w:tc>
          <w:p>
            <w:pPr>
              <w:pStyle w:val="Normal"/>
            </w:pPr>
            <w:r>
              <w:t>48 (8,1%)</w:t>
            </w:r>
          </w:p>
        </w:tc>
        <w:tc>
          <w:p>
            <w:pPr>
              <w:pStyle w:val="Normal"/>
            </w:pPr>
            <w:r>
              <w:t>42 (7,4%)</w:t>
            </w:r>
          </w:p>
        </w:tc>
        <w:tc>
          <w:p>
            <w:pPr>
              <w:pStyle w:val="Normal"/>
            </w:pPr>
            <w:r>
              <w:t>129 (7,7%)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A10BD08 187 (0,4%)</w:t>
            </w:r>
          </w:p>
        </w:tc>
        <w:tc>
          <w:p>
            <w:pPr>
              <w:pStyle w:val="Normal"/>
            </w:pPr>
            <w:r>
              <w:t>A10BK 229 (0,4%)</w:t>
            </w:r>
          </w:p>
        </w:tc>
        <w:tc>
          <w:p>
            <w:pPr>
              <w:pStyle w:val="Normal"/>
            </w:pPr>
            <w:r>
              <w:t>A10BH 234 (0,4%)</w:t>
            </w:r>
          </w:p>
        </w:tc>
        <w:tc>
          <w:p>
            <w:pPr>
              <w:pStyle w:val="Normal"/>
            </w:pPr>
            <w:r>
              <w:t>A10BH 597 (0,4%)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A10BX16 187 (0,4%)</w:t>
            </w:r>
          </w:p>
        </w:tc>
        <w:tc>
          <w:p>
            <w:pPr>
              <w:pStyle w:val="Normal"/>
            </w:pPr>
            <w:r>
              <w:t>A10BD11 224 (0,4%)</w:t>
            </w:r>
          </w:p>
        </w:tc>
        <w:tc>
          <w:p>
            <w:pPr>
              <w:pStyle w:val="Normal"/>
            </w:pPr>
            <w:r>
              <w:t>A10BD20 219 (0,4%)</w:t>
            </w:r>
          </w:p>
        </w:tc>
        <w:tc>
          <w:p>
            <w:pPr>
              <w:pStyle w:val="Normal"/>
            </w:pPr>
            <w:r>
              <w:t>A10BD19 592 (0,4%)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A10BD07 183 (0,4%)</w:t>
            </w:r>
          </w:p>
        </w:tc>
        <w:tc>
          <w:p>
            <w:pPr>
              <w:pStyle w:val="Normal"/>
            </w:pPr>
            <w:r>
              <w:t>A10BD21 218 (0,4%)</w:t>
            </w:r>
          </w:p>
        </w:tc>
        <w:tc>
          <w:p>
            <w:pPr>
              <w:pStyle w:val="Normal"/>
            </w:pPr>
            <w:r>
              <w:t>A10BD13 213 (0,4%)</w:t>
            </w:r>
          </w:p>
        </w:tc>
        <w:tc>
          <w:p>
            <w:pPr>
              <w:pStyle w:val="Normal"/>
            </w:pPr>
            <w:r>
              <w:t>A10BK 588 (0,4%)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A10BK 181 (0,4%)</w:t>
            </w:r>
          </w:p>
        </w:tc>
        <w:tc>
          <w:p>
            <w:pPr>
              <w:pStyle w:val="Normal"/>
            </w:pPr>
            <w:r>
              <w:t>A10BD15 217 (0,4%)</w:t>
            </w:r>
          </w:p>
        </w:tc>
        <w:tc>
          <w:p>
            <w:pPr>
              <w:pStyle w:val="Normal"/>
            </w:pPr>
            <w:r>
              <w:t>A10BD23 206 (0,4%)</w:t>
            </w:r>
          </w:p>
        </w:tc>
        <w:tc>
          <w:p>
            <w:pPr>
              <w:pStyle w:val="Normal"/>
            </w:pPr>
            <w:r>
              <w:t>A10BD20 586 (0,4%)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A10BD16 180 (0,4%)</w:t>
            </w:r>
          </w:p>
        </w:tc>
        <w:tc>
          <w:p>
            <w:pPr>
              <w:pStyle w:val="Normal"/>
            </w:pPr>
            <w:r>
              <w:t>A10BD19 214 (0,4%)</w:t>
            </w:r>
          </w:p>
        </w:tc>
        <w:tc>
          <w:p>
            <w:pPr>
              <w:pStyle w:val="Normal"/>
            </w:pPr>
            <w:r>
              <w:t>A10BD16 202 (0,4%)</w:t>
            </w:r>
          </w:p>
        </w:tc>
        <w:tc>
          <w:p>
            <w:pPr>
              <w:pStyle w:val="Normal"/>
            </w:pPr>
            <w:r>
              <w:t>A10BD11 582 (0,3%)</w:t>
            </w:r>
          </w:p>
        </w:tc>
      </w:tr>
      <w:tr>
        <w:tc>
          <w:p>
            <w:pPr>
              <w:pStyle w:val="Normal"/>
            </w:pPr>
            <w:r>
              <w:t>Contesto assistenziale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RSA e/o ADI (≥1 giorno durate l’anno)</w:t>
            </w:r>
          </w:p>
        </w:tc>
        <w:tc>
          <w:p>
            <w:pPr>
              <w:pStyle w:val="Normal"/>
            </w:pPr>
            <w:r>
              <w:t>5 (1,0%)</w:t>
            </w:r>
          </w:p>
        </w:tc>
        <w:tc>
          <w:p>
            <w:pPr>
              <w:pStyle w:val="Normal"/>
            </w:pPr>
            <w:r>
              <w:t>6 (1,0%)</w:t>
            </w:r>
          </w:p>
        </w:tc>
        <w:tc>
          <w:p>
            <w:pPr>
              <w:pStyle w:val="Normal"/>
            </w:pPr>
            <w:r>
              <w:t>8 (1,4%)</w:t>
            </w:r>
          </w:p>
        </w:tc>
        <w:tc>
          <w:p>
            <w:pPr>
              <w:pStyle w:val="Normal"/>
            </w:pPr>
            <w:r>
              <w:t>19 (1,1%)</w:t>
            </w:r>
          </w:p>
        </w:tc>
      </w:tr>
      <w:tr>
        <w:tc>
          <w:p>
            <w:pPr>
              <w:pStyle w:val="Normal"/>
            </w:pPr>
            <w:r>
              <w:t>Esenzione per patologia cronica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Cardiocircolatoria</w:t>
            </w:r>
          </w:p>
        </w:tc>
        <w:tc>
          <w:p>
            <w:pPr>
              <w:pStyle w:val="Normal"/>
            </w:pPr>
            <w:r>
              <w:t>328 (64,7%)</w:t>
            </w:r>
          </w:p>
        </w:tc>
        <w:tc>
          <w:p>
            <w:pPr>
              <w:pStyle w:val="Normal"/>
            </w:pPr>
            <w:r>
              <w:t>371 (62,8%)</w:t>
            </w:r>
          </w:p>
        </w:tc>
        <w:tc>
          <w:p>
            <w:pPr>
              <w:pStyle w:val="Normal"/>
            </w:pPr>
            <w:r>
              <w:t>351 (61,9%)</w:t>
            </w:r>
          </w:p>
        </w:tc>
        <w:tc>
          <w:p>
            <w:pPr>
              <w:pStyle w:val="Normal"/>
            </w:pPr>
            <w:r>
              <w:t>1.050 (63,1%)</w:t>
            </w:r>
          </w:p>
        </w:tc>
      </w:tr>
      <w:tr>
        <w:tc>
          <w:p>
            <w:pPr>
              <w:pStyle w:val="Normal"/>
            </w:pPr>
            <w:r>
              <w:t>Reumatologica</w:t>
            </w:r>
          </w:p>
        </w:tc>
        <w:tc>
          <w:p>
            <w:pPr>
              <w:pStyle w:val="Normal"/>
            </w:pPr>
            <w:r>
              <w:t>34 (6,7%)</w:t>
            </w:r>
          </w:p>
        </w:tc>
        <w:tc>
          <w:p>
            <w:pPr>
              <w:pStyle w:val="Normal"/>
            </w:pPr>
            <w:r>
              <w:t>48 (8,1%)</w:t>
            </w:r>
          </w:p>
        </w:tc>
        <w:tc>
          <w:p>
            <w:pPr>
              <w:pStyle w:val="Normal"/>
            </w:pPr>
            <w:r>
              <w:t>56 (9,9%)</w:t>
            </w:r>
          </w:p>
        </w:tc>
        <w:tc>
          <w:p>
            <w:pPr>
              <w:pStyle w:val="Normal"/>
            </w:pPr>
            <w:r>
              <w:t>138 (8,3%)</w:t>
            </w:r>
          </w:p>
        </w:tc>
      </w:tr>
      <w:tr>
        <w:tc>
          <w:p>
            <w:pPr>
              <w:pStyle w:val="Normal"/>
            </w:pPr>
            <w:r>
              <w:t>Gastroenterologica</w:t>
            </w:r>
          </w:p>
        </w:tc>
        <w:tc>
          <w:p>
            <w:pPr>
              <w:pStyle w:val="Normal"/>
            </w:pPr>
            <w:r>
              <w:t>325 (64,1%)</w:t>
            </w:r>
          </w:p>
        </w:tc>
        <w:tc>
          <w:p>
            <w:pPr>
              <w:pStyle w:val="Normal"/>
            </w:pPr>
            <w:r>
              <w:t>390 (66,0%)</w:t>
            </w:r>
          </w:p>
        </w:tc>
        <w:tc>
          <w:p>
            <w:pPr>
              <w:pStyle w:val="Normal"/>
            </w:pPr>
            <w:r>
              <w:t>338 (59,6%)</w:t>
            </w:r>
          </w:p>
        </w:tc>
        <w:tc>
          <w:p>
            <w:pPr>
              <w:pStyle w:val="Normal"/>
            </w:pPr>
            <w:r>
              <w:t>1.053 (63,2%)</w:t>
            </w:r>
          </w:p>
        </w:tc>
      </w:tr>
      <w:tr>
        <w:tc>
          <w:p>
            <w:pPr>
              <w:pStyle w:val="Normal"/>
            </w:pPr>
            <w:r>
              <w:t>≥1 esenzione per qualsiasi malattia cronica</w:t>
            </w:r>
          </w:p>
        </w:tc>
        <w:tc>
          <w:p>
            <w:pPr>
              <w:pStyle w:val="Normal"/>
            </w:pPr>
            <w:r>
              <w:t>207 (40,8%)</w:t>
            </w:r>
          </w:p>
        </w:tc>
        <w:tc>
          <w:p>
            <w:pPr>
              <w:pStyle w:val="Normal"/>
            </w:pPr>
            <w:r>
              <w:t>281 (47,5%)</w:t>
            </w:r>
          </w:p>
        </w:tc>
        <w:tc>
          <w:p>
            <w:pPr>
              <w:pStyle w:val="Normal"/>
            </w:pPr>
            <w:r>
              <w:t>249 (43,9%)</w:t>
            </w:r>
          </w:p>
        </w:tc>
        <w:tc>
          <w:p>
            <w:pPr>
              <w:pStyle w:val="Normal"/>
            </w:pPr>
            <w:r>
              <w:t>737 (44,3%)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2026-09-22T15:06:46Z</dcterms:modified>
  <cp:category/>
</cp:coreProperties>
</file>