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Tutte</w:t>
            </w:r>
          </w:p>
        </w:tc>
        <w:tc>
          <w:p>
            <w:pPr>
              <w:pStyle w:val="Normal"/>
            </w:pPr>
            <w:r>
              <w:t>Centro</w:t>
            </w:r>
          </w:p>
        </w:tc>
        <w:tc>
          <w:p>
            <w:pPr>
              <w:pStyle w:val="Normal"/>
            </w:pPr>
            <w:r>
              <w:t>Nord-Ovest</w:t>
            </w:r>
          </w:p>
        </w:tc>
        <w:tc>
          <w:p>
            <w:pPr>
              <w:pStyle w:val="Normal"/>
            </w:pPr>
            <w:r>
              <w:t>Sud-Est</w:t>
            </w:r>
          </w:p>
        </w:tc>
      </w:tr>
      <w:tr>
        <w:tc>
          <w:p>
            <w:pPr>
              <w:pStyle w:val="Normal"/>
            </w:pPr>
            <w:r>
              <w:t>Totale</w:t>
            </w:r>
          </w:p>
        </w:tc>
        <w:tc>
          <w:p>
            <w:pPr>
              <w:pStyle w:val="Normal"/>
            </w:pPr>
            <w:r>
              <w:t>3331</w:t>
            </w:r>
          </w:p>
        </w:tc>
        <w:tc>
          <w:p>
            <w:pPr>
              <w:pStyle w:val="Normal"/>
            </w:pPr>
            <w:r>
              <w:t>1129</w:t>
            </w:r>
          </w:p>
        </w:tc>
        <w:tc>
          <w:p>
            <w:pPr>
              <w:pStyle w:val="Normal"/>
            </w:pPr>
            <w:r>
              <w:t>1105</w:t>
            </w:r>
          </w:p>
        </w:tc>
        <w:tc>
          <w:p>
            <w:pPr>
              <w:pStyle w:val="Normal"/>
            </w:pPr>
            <w:r>
              <w:t>1097</w:t>
            </w:r>
          </w:p>
        </w:tc>
      </w:tr>
      <w:tr>
        <w:tc>
          <w:p>
            <w:pPr>
              <w:pStyle w:val="Normal"/>
            </w:pPr>
            <w:r>
              <w:t>Anziani potenzialmente esposti a prescrizioni di farmaci inappropriati (indipendentemente dalla diagnosi)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Pazienti politrattati esposti, n (%)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Anticolinergici (e.g. Idrossizina, clorfeniramina, prometazina</w:t>
            </w:r>
          </w:p>
        </w:tc>
        <w:tc>
          <w:p>
            <w:pPr>
              <w:pStyle w:val="Normal"/>
            </w:pPr>
            <w:r>
              <w:t>2.069 (62,1%)</w:t>
            </w:r>
          </w:p>
        </w:tc>
        <w:tc>
          <w:p>
            <w:pPr>
              <w:pStyle w:val="Normal"/>
            </w:pPr>
            <w:r>
              <w:t>700 (62,0%)</w:t>
            </w:r>
          </w:p>
        </w:tc>
        <w:tc>
          <w:p>
            <w:pPr>
              <w:pStyle w:val="Normal"/>
            </w:pPr>
            <w:r>
              <w:t>676 (61,2%)</w:t>
            </w:r>
          </w:p>
        </w:tc>
        <w:tc>
          <w:p>
            <w:pPr>
              <w:pStyle w:val="Normal"/>
            </w:pPr>
            <w:r>
              <w:t>693 (63,2%)</w:t>
            </w:r>
          </w:p>
        </w:tc>
      </w:tr>
      <w:tr>
        <w:tc>
          <w:p>
            <w:pPr>
              <w:pStyle w:val="Normal"/>
            </w:pPr>
            <w:r>
              <w:t>FANS orali (e.g. Ibuprofene, naprossene, diclofenac)</w:t>
            </w:r>
          </w:p>
        </w:tc>
        <w:tc>
          <w:p>
            <w:pPr>
              <w:pStyle w:val="Normal"/>
            </w:pPr>
            <w:r>
              <w:t>3.022 (90,7%)</w:t>
            </w:r>
          </w:p>
        </w:tc>
        <w:tc>
          <w:p>
            <w:pPr>
              <w:pStyle w:val="Normal"/>
            </w:pPr>
            <w:r>
              <w:t>1.016 (90,0%)</w:t>
            </w:r>
          </w:p>
        </w:tc>
        <w:tc>
          <w:p>
            <w:pPr>
              <w:pStyle w:val="Normal"/>
            </w:pPr>
            <w:r>
              <w:t>1.005 (91,0%)</w:t>
            </w:r>
          </w:p>
        </w:tc>
        <w:tc>
          <w:p>
            <w:pPr>
              <w:pStyle w:val="Normal"/>
            </w:pPr>
            <w:r>
              <w:t>1.001 (91,2%)</w:t>
            </w:r>
          </w:p>
        </w:tc>
      </w:tr>
      <w:tr>
        <w:tc>
          <w:p>
            <w:pPr>
              <w:pStyle w:val="Normal"/>
            </w:pPr>
            <w:r>
              <w:t>Antipsicotici (e.g. Aloperidolo, clorpromazina)</w:t>
            </w:r>
          </w:p>
        </w:tc>
        <w:tc>
          <w:p>
            <w:pPr>
              <w:pStyle w:val="Normal"/>
            </w:pPr>
            <w:r>
              <w:t>211 (6,3%)</w:t>
            </w:r>
          </w:p>
        </w:tc>
        <w:tc>
          <w:p>
            <w:pPr>
              <w:pStyle w:val="Normal"/>
            </w:pPr>
            <w:r>
              <w:t>68 (6,0%)</w:t>
            </w:r>
          </w:p>
        </w:tc>
        <w:tc>
          <w:p>
            <w:pPr>
              <w:pStyle w:val="Normal"/>
            </w:pPr>
            <w:r>
              <w:t>68 (6,2%)</w:t>
            </w:r>
          </w:p>
        </w:tc>
        <w:tc>
          <w:p>
            <w:pPr>
              <w:pStyle w:val="Normal"/>
            </w:pPr>
            <w:r>
              <w:t>75 (6,8%)</w:t>
            </w:r>
          </w:p>
        </w:tc>
      </w:tr>
      <w:tr>
        <w:tc>
          <w:p>
            <w:pPr>
              <w:pStyle w:val="Normal"/>
            </w:pPr>
            <w:r>
              <w:t>Sulfoniluree a lunga durata (Glibenclamide)</w:t>
            </w:r>
          </w:p>
        </w:tc>
        <w:tc>
          <w:p>
            <w:pPr>
              <w:pStyle w:val="Normal"/>
            </w:pPr>
            <w:r>
              <w:t>3.064 (92,0%)</w:t>
            </w:r>
          </w:p>
        </w:tc>
        <w:tc>
          <w:p>
            <w:pPr>
              <w:pStyle w:val="Normal"/>
            </w:pPr>
            <w:r>
              <w:t>1.048 (92,8%)</w:t>
            </w:r>
          </w:p>
        </w:tc>
        <w:tc>
          <w:p>
            <w:pPr>
              <w:pStyle w:val="Normal"/>
            </w:pPr>
            <w:r>
              <w:t>1.017 (92,0%)</w:t>
            </w:r>
          </w:p>
        </w:tc>
        <w:tc>
          <w:p>
            <w:pPr>
              <w:pStyle w:val="Normal"/>
            </w:pPr>
            <w:r>
              <w:t>999 (91,1%)</w:t>
            </w:r>
          </w:p>
        </w:tc>
      </w:tr>
      <w:tr>
        <w:tc>
          <w:p>
            <w:pPr>
              <w:pStyle w:val="Normal"/>
            </w:pPr>
            <w:r>
              <w:t>Digossina &gt;0,125 mg/die</w:t>
            </w:r>
          </w:p>
        </w:tc>
        <w:tc>
          <w:p>
            <w:pPr>
              <w:pStyle w:val="Normal"/>
            </w:pPr>
            <w:r>
              <w:t>2.016 (60,5%)</w:t>
            </w:r>
          </w:p>
        </w:tc>
        <w:tc>
          <w:p>
            <w:pPr>
              <w:pStyle w:val="Normal"/>
            </w:pPr>
            <w:r>
              <w:t>670 (59,3%)</w:t>
            </w:r>
          </w:p>
        </w:tc>
        <w:tc>
          <w:p>
            <w:pPr>
              <w:pStyle w:val="Normal"/>
            </w:pPr>
            <w:r>
              <w:t>679 (61,4%)</w:t>
            </w:r>
          </w:p>
        </w:tc>
        <w:tc>
          <w:p>
            <w:pPr>
              <w:pStyle w:val="Normal"/>
            </w:pPr>
            <w:r>
              <w:t>667 (60,8%)</w:t>
            </w:r>
          </w:p>
        </w:tc>
      </w:tr>
      <w:tr>
        <w:tc>
          <w:p>
            <w:pPr>
              <w:pStyle w:val="Normal"/>
            </w:pPr>
            <w:r>
              <w:t>Scivolatori insulinici (Insulina rapida senza basale)</w:t>
            </w:r>
          </w:p>
        </w:tc>
        <w:tc>
          <w:p>
            <w:pPr>
              <w:pStyle w:val="Normal"/>
            </w:pPr>
            <w:r>
              <w:t>1.217 (36,5%)</w:t>
            </w:r>
          </w:p>
        </w:tc>
        <w:tc>
          <w:p>
            <w:pPr>
              <w:pStyle w:val="Normal"/>
            </w:pPr>
            <w:r>
              <w:t>446 (39,5%)</w:t>
            </w:r>
          </w:p>
        </w:tc>
        <w:tc>
          <w:p>
            <w:pPr>
              <w:pStyle w:val="Normal"/>
            </w:pPr>
            <w:r>
              <w:t>361 (32,7%)</w:t>
            </w:r>
          </w:p>
        </w:tc>
        <w:tc>
          <w:p>
            <w:pPr>
              <w:pStyle w:val="Normal"/>
            </w:pPr>
            <w:r>
              <w:t>410 (37,4%)</w:t>
            </w:r>
          </w:p>
        </w:tc>
      </w:tr>
      <w:tr>
        <w:tc>
          <w:p>
            <w:pPr>
              <w:pStyle w:val="Normal"/>
            </w:pPr>
            <w:r>
              <w:t>Inibitori di pompa protonica (PPI)</w:t>
            </w:r>
          </w:p>
        </w:tc>
        <w:tc>
          <w:p>
            <w:pPr>
              <w:pStyle w:val="Normal"/>
            </w:pPr>
            <w:r>
              <w:t>828 (24,9%)</w:t>
            </w:r>
          </w:p>
        </w:tc>
        <w:tc>
          <w:p>
            <w:pPr>
              <w:pStyle w:val="Normal"/>
            </w:pPr>
            <w:r>
              <w:t>269 (23,8%)</w:t>
            </w:r>
          </w:p>
        </w:tc>
        <w:tc>
          <w:p>
            <w:pPr>
              <w:pStyle w:val="Normal"/>
            </w:pPr>
            <w:r>
              <w:t>285 (25,8%)</w:t>
            </w:r>
          </w:p>
        </w:tc>
        <w:tc>
          <w:p>
            <w:pPr>
              <w:pStyle w:val="Normal"/>
            </w:pPr>
            <w:r>
              <w:t>274 (25,0%)</w:t>
            </w:r>
          </w:p>
        </w:tc>
      </w:tr>
      <w:tr>
        <w:tc>
          <w:p>
            <w:pPr>
              <w:pStyle w:val="Normal"/>
            </w:pPr>
            <w:r>
              <w:t>Anziani esposti esposti a prescrizioni a rischio di interazioni farmaco-farmaco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Pazienti politrattati esposti, n (%)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Anticoagulante orale + FANS (e.g. Warfarin/DOAC
+ FANS + diclofenc)</w:t>
            </w:r>
          </w:p>
        </w:tc>
        <w:tc>
          <w:p>
            <w:pPr>
              <w:pStyle w:val="Normal"/>
            </w:pPr>
            <w:r>
              <w:t>2.553 (76,6%)</w:t>
            </w:r>
          </w:p>
        </w:tc>
        <w:tc>
          <w:p>
            <w:pPr>
              <w:pStyle w:val="Normal"/>
            </w:pPr>
            <w:r>
              <w:t>854 (75,6%)</w:t>
            </w:r>
          </w:p>
        </w:tc>
        <w:tc>
          <w:p>
            <w:pPr>
              <w:pStyle w:val="Normal"/>
            </w:pPr>
            <w:r>
              <w:t>865 (78,3%)</w:t>
            </w:r>
          </w:p>
        </w:tc>
        <w:tc>
          <w:p>
            <w:pPr>
              <w:pStyle w:val="Normal"/>
            </w:pPr>
            <w:r>
              <w:t>834 (76,0%)</w:t>
            </w:r>
          </w:p>
        </w:tc>
      </w:tr>
      <w:tr>
        <w:tc>
          <w:p>
            <w:pPr>
              <w:pStyle w:val="Normal"/>
            </w:pPr>
            <w:r>
              <w:t>≥3 farmaci con effetto anticolinergico (i.e. 
burden anticolinergico cumulativo)</w:t>
            </w:r>
          </w:p>
        </w:tc>
        <w:tc>
          <w:p>
            <w:pPr>
              <w:pStyle w:val="Normal"/>
            </w:pPr>
            <w:r>
              <w:t>1.170 (35,1%)</w:t>
            </w:r>
          </w:p>
        </w:tc>
        <w:tc>
          <w:p>
            <w:pPr>
              <w:pStyle w:val="Normal"/>
            </w:pPr>
            <w:r>
              <w:t>394 (34,9%)</w:t>
            </w:r>
          </w:p>
        </w:tc>
        <w:tc>
          <w:p>
            <w:pPr>
              <w:pStyle w:val="Normal"/>
            </w:pPr>
            <w:r>
              <w:t>357 (32,3%)</w:t>
            </w:r>
          </w:p>
        </w:tc>
        <w:tc>
          <w:p>
            <w:pPr>
              <w:pStyle w:val="Normal"/>
            </w:pPr>
            <w:r>
              <w:t>419 (38,2%)</w:t>
            </w:r>
          </w:p>
        </w:tc>
      </w:tr>
      <w:tr>
        <w:tc>
          <w:p>
            <w:pPr>
              <w:pStyle w:val="Normal"/>
            </w:pPr>
            <w:r>
              <w:t>ACE-inibitore/ARB + FANS + diuretico (Triplice 
whammy)</w:t>
            </w:r>
          </w:p>
        </w:tc>
        <w:tc>
          <w:p>
            <w:pPr>
              <w:pStyle w:val="Normal"/>
            </w:pPr>
            <w:r>
              <w:t>2.493 (74,8%)</w:t>
            </w:r>
          </w:p>
        </w:tc>
        <w:tc>
          <w:p>
            <w:pPr>
              <w:pStyle w:val="Normal"/>
            </w:pPr>
            <w:r>
              <w:t>852 (75,5%)</w:t>
            </w:r>
          </w:p>
        </w:tc>
        <w:tc>
          <w:p>
            <w:pPr>
              <w:pStyle w:val="Normal"/>
            </w:pPr>
            <w:r>
              <w:t>827 (74,8%)</w:t>
            </w:r>
          </w:p>
        </w:tc>
        <w:tc>
          <w:p>
            <w:pPr>
              <w:pStyle w:val="Normal"/>
            </w:pPr>
            <w:r>
              <w:t>814 (74,2%)</w:t>
            </w:r>
          </w:p>
        </w:tc>
      </w:tr>
      <w:tr>
        <w:tc>
          <w:p>
            <w:pPr>
              <w:pStyle w:val="Normal"/>
            </w:pPr>
            <w:r>
              <w:t>Antiaggregante + FANS (senza PPI) (e.g. 
Aspirina + diclofenc)</w:t>
            </w:r>
          </w:p>
        </w:tc>
        <w:tc>
          <w:p>
            <w:pPr>
              <w:pStyle w:val="Normal"/>
            </w:pPr>
            <w:r>
              <w:t>974 (29,2%)</w:t>
            </w:r>
          </w:p>
        </w:tc>
        <w:tc>
          <w:p>
            <w:pPr>
              <w:pStyle w:val="Normal"/>
            </w:pPr>
            <w:r>
              <w:t>334 (29,6%)</w:t>
            </w:r>
          </w:p>
        </w:tc>
        <w:tc>
          <w:p>
            <w:pPr>
              <w:pStyle w:val="Normal"/>
            </w:pPr>
            <w:r>
              <w:t>331 (30,0%)</w:t>
            </w:r>
          </w:p>
        </w:tc>
        <w:tc>
          <w:p>
            <w:pPr>
              <w:pStyle w:val="Normal"/>
            </w:pPr>
            <w:r>
              <w:t>309 (28,2%)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2026-09-25T10:02:30Z</dcterms:modified>
  <cp:category/>
</cp:coreProperties>
</file>