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Tutte</w:t>
            </w:r>
          </w:p>
        </w:tc>
        <w:tc>
          <w:p>
            <w:pPr>
              <w:pStyle w:val="Normal"/>
            </w:pPr>
            <w:r>
              <w:t>Centro</w:t>
            </w:r>
          </w:p>
        </w:tc>
        <w:tc>
          <w:p>
            <w:pPr>
              <w:pStyle w:val="Normal"/>
            </w:pPr>
            <w:r>
              <w:t>Nord-Ovest</w:t>
            </w:r>
          </w:p>
        </w:tc>
        <w:tc>
          <w:p>
            <w:pPr>
              <w:pStyle w:val="Normal"/>
            </w:pPr>
            <w:r>
              <w:t>Sud-Est</w:t>
            </w:r>
          </w:p>
        </w:tc>
      </w:t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45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19</w:t>
            </w:r>
          </w:p>
        </w:tc>
        <w:tc>
          <w:p>
            <w:pPr>
              <w:pStyle w:val="Normal"/>
            </w:pPr>
            <w:r>
              <w:t>17</w:t>
            </w:r>
          </w:p>
        </w:tc>
      </w:tr>
      <w:tr>
        <w:tc>
          <w:p>
            <w:pPr>
              <w:pStyle w:val="Normal"/>
            </w:pPr>
            <w:r>
              <w:t>Donne, n (%)</w:t>
            </w:r>
          </w:p>
        </w:tc>
        <w:tc>
          <w:p>
            <w:pPr>
              <w:pStyle w:val="Normal"/>
            </w:pPr>
            <w:r>
              <w:t>25 (55,6%)</w:t>
            </w:r>
          </w:p>
        </w:tc>
        <w:tc>
          <w:p>
            <w:pPr>
              <w:pStyle w:val="Normal"/>
            </w:pPr>
            <w:r>
              <w:t>6 (66,7%)</w:t>
            </w:r>
          </w:p>
        </w:tc>
        <w:tc>
          <w:p>
            <w:pPr>
              <w:pStyle w:val="Normal"/>
            </w:pPr>
            <w:r>
              <w:t>8 (42,1%)</w:t>
            </w:r>
          </w:p>
        </w:tc>
        <w:tc>
          <w:p>
            <w:pPr>
              <w:pStyle w:val="Normal"/>
            </w:pPr>
            <w:r>
              <w:t>11 (64,7%)</w:t>
            </w:r>
          </w:p>
        </w:tc>
      </w:tr>
      <w:tr>
        <w:tc>
          <w:p>
            <w:pPr>
              <w:pStyle w:val="Normal"/>
            </w:pPr>
            <w:r>
              <w:t>40-64 anni, n (%)</w:t>
            </w:r>
          </w:p>
        </w:tc>
        <w:tc>
          <w:p>
            <w:pPr>
              <w:pStyle w:val="Normal"/>
            </w:pPr>
            <w:r>
              <w:t>13 (28,9%)</w:t>
            </w:r>
          </w:p>
        </w:tc>
        <w:tc>
          <w:p>
            <w:pPr>
              <w:pStyle w:val="Normal"/>
            </w:pPr>
            <w:r>
              <w:t>3 (33,3%)</w:t>
            </w:r>
          </w:p>
        </w:tc>
        <w:tc>
          <w:p>
            <w:pPr>
              <w:pStyle w:val="Normal"/>
            </w:pPr>
            <w:r>
              <w:t>5 (26,3%)</w:t>
            </w:r>
          </w:p>
        </w:tc>
        <w:tc>
          <w:p>
            <w:pPr>
              <w:pStyle w:val="Normal"/>
            </w:pPr>
            <w:r>
              <w:t>5 (29,4%)</w:t>
            </w:r>
          </w:p>
        </w:tc>
      </w:tr>
      <w:tr>
        <w:tc>
          <w:p>
            <w:pPr>
              <w:pStyle w:val="Normal"/>
            </w:pPr>
            <w:r>
              <w:t>65-84 anni, n (%)</w:t>
            </w:r>
          </w:p>
        </w:tc>
        <w:tc>
          <w:p>
            <w:pPr>
              <w:pStyle w:val="Normal"/>
            </w:pPr>
            <w:r>
              <w:t>19 (42,2%)</w:t>
            </w:r>
          </w:p>
        </w:tc>
        <w:tc>
          <w:p>
            <w:pPr>
              <w:pStyle w:val="Normal"/>
            </w:pPr>
            <w:r>
              <w:t>5 (55,6%)</w:t>
            </w:r>
          </w:p>
        </w:tc>
        <w:tc>
          <w:p>
            <w:pPr>
              <w:pStyle w:val="Normal"/>
            </w:pPr>
            <w:r>
              <w:t>6 (31,6%)</w:t>
            </w:r>
          </w:p>
        </w:tc>
        <w:tc>
          <w:p>
            <w:pPr>
              <w:pStyle w:val="Normal"/>
            </w:pPr>
            <w:r>
              <w:t>8 (47,1%)</w:t>
            </w:r>
          </w:p>
        </w:tc>
      </w:tr>
      <w:tr>
        <w:tc>
          <w:p>
            <w:pPr>
              <w:pStyle w:val="Normal"/>
            </w:pPr>
            <w:r>
              <w:t>85+, n (%)</w:t>
            </w:r>
          </w:p>
        </w:tc>
        <w:tc>
          <w:p>
            <w:pPr>
              <w:pStyle w:val="Normal"/>
            </w:pPr>
            <w:r>
              <w:t>13 (28,9%)</w:t>
            </w:r>
          </w:p>
        </w:tc>
        <w:tc>
          <w:p>
            <w:pPr>
              <w:pStyle w:val="Normal"/>
            </w:pPr>
            <w:r>
              <w:t>1 (11,1%)</w:t>
            </w:r>
          </w:p>
        </w:tc>
        <w:tc>
          <w:p>
            <w:pPr>
              <w:pStyle w:val="Normal"/>
            </w:pPr>
            <w:r>
              <w:t>8 (42,1%)</w:t>
            </w:r>
          </w:p>
        </w:tc>
        <w:tc>
          <w:p>
            <w:pPr>
              <w:pStyle w:val="Normal"/>
            </w:pPr>
            <w:r>
              <w:t>4 (23,5%)</w:t>
            </w:r>
          </w:p>
        </w:tc>
      </w:tr>
      <w:tr>
        <w:tc>
          <w:p>
            <w:pPr>
              <w:pStyle w:val="Normal"/>
            </w:pPr>
            <w:r>
              <w:t>Pazienti in iper-politerapia (≥10 farmaci ATC IV nello stesso mese per 3 mesi su 12), n (%)</w:t>
            </w:r>
          </w:p>
        </w:tc>
        <w:tc>
          <w:p>
            <w:pPr>
              <w:pStyle w:val="Normal"/>
            </w:pPr>
            <w:r>
              <w:t>4 (8,9%)</w:t>
            </w:r>
          </w:p>
        </w:tc>
        <w:tc>
          <w:p>
            <w:pPr>
              <w:pStyle w:val="Normal"/>
            </w:pPr>
            <w:r>
              <w:t>3 (33,3%)</w:t>
            </w:r>
          </w:p>
        </w:tc>
        <w:tc>
          <w:p>
            <w:pPr>
              <w:pStyle w:val="Normal"/>
            </w:pPr>
            <w:r>
              <w:t>1 (5,3%)</w:t>
            </w:r>
          </w:p>
        </w:tc>
        <w:tc>
          <w:p>
            <w:pPr>
              <w:pStyle w:val="Normal"/>
            </w:pPr>
            <w:r>
              <w:t>0 (0,0%)</w:t>
            </w:r>
          </w:p>
        </w:tc>
      </w:tr>
      <w:tr>
        <w:tc>
          <w:p>
            <w:pPr>
              <w:pStyle w:val="Normal"/>
            </w:pPr>
            <w:r>
              <w:t>Esenzione per patologia cronica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Cardiocircolatoria</w:t>
            </w:r>
          </w:p>
        </w:tc>
        <w:tc>
          <w:p>
            <w:pPr>
              <w:pStyle w:val="Normal"/>
            </w:pPr>
            <w:r>
              <w:t>28 (62,2%)</w:t>
            </w:r>
          </w:p>
        </w:tc>
        <w:tc>
          <w:p>
            <w:pPr>
              <w:pStyle w:val="Normal"/>
            </w:pPr>
            <w:r>
              <w:t>7 (77,8%)</w:t>
            </w:r>
          </w:p>
        </w:tc>
        <w:tc>
          <w:p>
            <w:pPr>
              <w:pStyle w:val="Normal"/>
            </w:pPr>
            <w:r>
              <w:t>11 (57,9%)</w:t>
            </w:r>
          </w:p>
        </w:tc>
        <w:tc>
          <w:p>
            <w:pPr>
              <w:pStyle w:val="Normal"/>
            </w:pPr>
            <w:r>
              <w:t>10 (58,8%)</w:t>
            </w:r>
          </w:p>
        </w:tc>
      </w:tr>
      <w:tr>
        <w:tc>
          <w:p>
            <w:pPr>
              <w:pStyle w:val="Normal"/>
            </w:pPr>
            <w:r>
              <w:t>Reumatologica</w:t>
            </w:r>
          </w:p>
        </w:tc>
        <w:tc>
          <w:p>
            <w:pPr>
              <w:pStyle w:val="Normal"/>
            </w:pPr>
            <w:r>
              <w:t>5 (11,1%)</w:t>
            </w:r>
          </w:p>
        </w:tc>
        <w:tc>
          <w:p>
            <w:pPr>
              <w:pStyle w:val="Normal"/>
            </w:pPr>
            <w:r>
              <w:t>1 (11,1%)</w:t>
            </w:r>
          </w:p>
        </w:tc>
        <w:tc>
          <w:p>
            <w:pPr>
              <w:pStyle w:val="Normal"/>
            </w:pPr>
            <w:r>
              <w:t>1 (5,3%)</w:t>
            </w:r>
          </w:p>
        </w:tc>
        <w:tc>
          <w:p>
            <w:pPr>
              <w:pStyle w:val="Normal"/>
            </w:pPr>
            <w:r>
              <w:t>3 (17,6%)</w:t>
            </w:r>
          </w:p>
        </w:tc>
      </w:tr>
      <w:tr>
        <w:tc>
          <w:p>
            <w:pPr>
              <w:pStyle w:val="Normal"/>
            </w:pPr>
            <w:r>
              <w:t>Gastroenterologica</w:t>
            </w:r>
          </w:p>
        </w:tc>
        <w:tc>
          <w:p>
            <w:pPr>
              <w:pStyle w:val="Normal"/>
            </w:pPr>
            <w:r>
              <w:t>27 (60,0%)</w:t>
            </w:r>
          </w:p>
        </w:tc>
        <w:tc>
          <w:p>
            <w:pPr>
              <w:pStyle w:val="Normal"/>
            </w:pPr>
            <w:r>
              <w:t>9 (100,0%)</w:t>
            </w:r>
          </w:p>
        </w:tc>
        <w:tc>
          <w:p>
            <w:pPr>
              <w:pStyle w:val="Normal"/>
            </w:pPr>
            <w:r>
              <w:t>10 (52,6%)</w:t>
            </w:r>
          </w:p>
        </w:tc>
        <w:tc>
          <w:p>
            <w:pPr>
              <w:pStyle w:val="Normal"/>
            </w:pPr>
            <w:r>
              <w:t>8 (47,1%)</w:t>
            </w:r>
          </w:p>
        </w:tc>
      </w:tr>
      <w:tr>
        <w:tc>
          <w:p>
            <w:pPr>
              <w:pStyle w:val="Normal"/>
            </w:pPr>
            <w:r>
              <w:t>≥1 esenzione per qualsiasi malattia cronica</w:t>
            </w:r>
          </w:p>
        </w:tc>
        <w:tc>
          <w:p>
            <w:pPr>
              <w:pStyle w:val="Normal"/>
            </w:pPr>
            <w:r>
              <w:t>14 (31,1%)</w:t>
            </w:r>
          </w:p>
        </w:tc>
        <w:tc>
          <w:p>
            <w:pPr>
              <w:pStyle w:val="Normal"/>
            </w:pPr>
            <w:r>
              <w:t>3 (33,3%)</w:t>
            </w:r>
          </w:p>
        </w:tc>
        <w:tc>
          <w:p>
            <w:pPr>
              <w:pStyle w:val="Normal"/>
            </w:pPr>
            <w:r>
              <w:t>5 (26,3%)</w:t>
            </w:r>
          </w:p>
        </w:tc>
        <w:tc>
          <w:p>
            <w:pPr>
              <w:pStyle w:val="Normal"/>
            </w:pPr>
            <w:r>
              <w:t>6 (35,3%)</w:t>
            </w:r>
          </w:p>
        </w:tc>
      </w:tr>
      <w:tr>
        <w:tc>
          <w:p>
            <w:pPr>
              <w:pStyle w:val="Normal"/>
            </w:pPr>
            <w:r>
              <w:t>Principi attivi più utilizzati (ATC V livello dispensati ≥ 3 volte in un anno)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A10BD15 20 (44,4%)</w:t>
            </w:r>
          </w:p>
        </w:tc>
        <w:tc>
          <w:p>
            <w:pPr>
              <w:pStyle w:val="Normal"/>
            </w:pPr>
            <w:r>
              <w:t>A10BD15 7 (77,8%)</w:t>
            </w:r>
          </w:p>
        </w:tc>
        <w:tc>
          <w:p>
            <w:pPr>
              <w:pStyle w:val="Normal"/>
            </w:pPr>
            <w:r>
              <w:t>A10AE56 11 (57,9%)</w:t>
            </w:r>
          </w:p>
        </w:tc>
        <w:tc>
          <w:p>
            <w:pPr>
              <w:pStyle w:val="Normal"/>
            </w:pPr>
            <w:r>
              <w:t>A10BJ 9 (52,9%)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A10BD07 20 (44,4%)</w:t>
            </w:r>
          </w:p>
        </w:tc>
        <w:tc>
          <w:p>
            <w:pPr>
              <w:pStyle w:val="Normal"/>
            </w:pPr>
            <w:r>
              <w:t>A10BD24 5 (55,6%)</w:t>
            </w:r>
          </w:p>
        </w:tc>
        <w:tc>
          <w:p>
            <w:pPr>
              <w:pStyle w:val="Normal"/>
            </w:pPr>
            <w:r>
              <w:t>A10BD09 10 (52,6%)</w:t>
            </w:r>
          </w:p>
        </w:tc>
        <w:tc>
          <w:p>
            <w:pPr>
              <w:pStyle w:val="Normal"/>
            </w:pPr>
            <w:r>
              <w:t>A10BD15 9 (52,9%)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A10AE56 20 (44,4%)</w:t>
            </w:r>
          </w:p>
        </w:tc>
        <w:tc>
          <w:p>
            <w:pPr>
              <w:pStyle w:val="Normal"/>
            </w:pPr>
            <w:r>
              <w:t>A10BD16 4 (44,4%)</w:t>
            </w:r>
          </w:p>
        </w:tc>
        <w:tc>
          <w:p>
            <w:pPr>
              <w:pStyle w:val="Normal"/>
            </w:pPr>
            <w:r>
              <w:t>A10BD07 9 (47,4%)</w:t>
            </w:r>
          </w:p>
        </w:tc>
        <w:tc>
          <w:p>
            <w:pPr>
              <w:pStyle w:val="Normal"/>
            </w:pPr>
            <w:r>
              <w:t>A10BH 9 (52,9%)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A10BH 19 (42,2%)</w:t>
            </w:r>
          </w:p>
        </w:tc>
        <w:tc>
          <w:p>
            <w:pPr>
              <w:pStyle w:val="Normal"/>
            </w:pPr>
            <w:r>
              <w:t>A10BH 4 (44,4%)</w:t>
            </w:r>
          </w:p>
        </w:tc>
        <w:tc>
          <w:p>
            <w:pPr>
              <w:pStyle w:val="Normal"/>
            </w:pPr>
            <w:r>
              <w:t>A10AE54 8 (42,1%)</w:t>
            </w:r>
          </w:p>
        </w:tc>
        <w:tc>
          <w:p>
            <w:pPr>
              <w:pStyle w:val="Normal"/>
            </w:pPr>
            <w:r>
              <w:t>A10BD21 8 (47,1%)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A10BD16 18 (40,0%)</w:t>
            </w:r>
          </w:p>
        </w:tc>
        <w:tc>
          <w:p>
            <w:pPr>
              <w:pStyle w:val="Normal"/>
            </w:pPr>
            <w:r>
              <w:t>A10BD21 4 (44,4%)</w:t>
            </w:r>
          </w:p>
        </w:tc>
        <w:tc>
          <w:p>
            <w:pPr>
              <w:pStyle w:val="Normal"/>
            </w:pPr>
            <w:r>
              <w:t>A10BD11 8 (42,1%)</w:t>
            </w:r>
          </w:p>
        </w:tc>
        <w:tc>
          <w:p>
            <w:pPr>
              <w:pStyle w:val="Normal"/>
            </w:pPr>
            <w:r>
              <w:t>A10BD08 8 (47,1%)</w:t>
            </w:r>
          </w:p>
        </w:tc>
      </w:tr>
      <w:tr>
        <w:tc>
          <w:p>
            <w:pPr>
              <w:pStyle w:val="Normal"/>
            </w:pPr>
            <w:r>
              <w:t>Combinazioni ATC IV livello (*)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A10BD 45 (100,0%)</w:t>
            </w:r>
          </w:p>
        </w:tc>
        <w:tc>
          <w:p>
            <w:pPr>
              <w:pStyle w:val="Normal"/>
            </w:pPr>
            <w:r>
              <w:t>A10BD 9 (100,0%)</w:t>
            </w:r>
          </w:p>
        </w:tc>
        <w:tc>
          <w:p>
            <w:pPr>
              <w:pStyle w:val="Normal"/>
            </w:pPr>
            <w:r>
              <w:t>A10BD 19 (100,0%)</w:t>
            </w:r>
          </w:p>
        </w:tc>
        <w:tc>
          <w:p>
            <w:pPr>
              <w:pStyle w:val="Normal"/>
            </w:pPr>
            <w:r>
              <w:t>A10BD 17 (100,0%)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A10AE 27 (60,0%)</w:t>
            </w:r>
          </w:p>
        </w:tc>
        <w:tc>
          <w:p>
            <w:pPr>
              <w:pStyle w:val="Normal"/>
            </w:pPr>
            <w:r>
              <w:t>A10BH 4 (44,4%)</w:t>
            </w:r>
          </w:p>
        </w:tc>
        <w:tc>
          <w:p>
            <w:pPr>
              <w:pStyle w:val="Normal"/>
            </w:pPr>
            <w:r>
              <w:t>A10AE 13 (68,4%)</w:t>
            </w:r>
          </w:p>
        </w:tc>
        <w:tc>
          <w:p>
            <w:pPr>
              <w:pStyle w:val="Normal"/>
            </w:pPr>
            <w:r>
              <w:t>A10AE 11 (64,7%)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A10BH 16 (35,6%)</w:t>
            </w:r>
          </w:p>
        </w:tc>
        <w:tc>
          <w:p>
            <w:pPr>
              <w:pStyle w:val="Normal"/>
            </w:pPr>
            <w:r>
              <w:t>A10AE 3 (33,3%)</w:t>
            </w:r>
          </w:p>
        </w:tc>
        <w:tc>
          <w:p>
            <w:pPr>
              <w:pStyle w:val="Normal"/>
            </w:pPr>
            <w:r>
              <w:t>A10BH 5 (26,3%)</w:t>
            </w:r>
          </w:p>
        </w:tc>
        <w:tc>
          <w:p>
            <w:pPr>
              <w:pStyle w:val="Normal"/>
            </w:pPr>
            <w:r>
              <w:t>A10BJ 7 (41,2%)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A10BJ 15 (33,3%)</w:t>
            </w:r>
          </w:p>
        </w:tc>
        <w:tc>
          <w:p>
            <w:pPr>
              <w:pStyle w:val="Normal"/>
            </w:pPr>
            <w:r>
              <w:t>A10BJ 3 (33,3%)</w:t>
            </w:r>
          </w:p>
        </w:tc>
        <w:tc>
          <w:p>
            <w:pPr>
              <w:pStyle w:val="Normal"/>
            </w:pPr>
            <w:r>
              <w:t>A10BK 5 (26,3%)</w:t>
            </w:r>
          </w:p>
        </w:tc>
        <w:tc>
          <w:p>
            <w:pPr>
              <w:pStyle w:val="Normal"/>
            </w:pPr>
            <w:r>
              <w:t>A10BH 7 (41,2%)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A10BK 12 (26,7%)</w:t>
            </w:r>
          </w:p>
        </w:tc>
        <w:tc>
          <w:p>
            <w:pPr>
              <w:pStyle w:val="Normal"/>
            </w:pPr>
            <w:r>
              <w:t>A10BX 2 (22,2%)</w:t>
            </w:r>
          </w:p>
        </w:tc>
        <w:tc>
          <w:p>
            <w:pPr>
              <w:pStyle w:val="Normal"/>
            </w:pPr>
            <w:r>
              <w:t>A10BJ 5 (26,3%)</w:t>
            </w:r>
          </w:p>
        </w:tc>
        <w:tc>
          <w:p>
            <w:pPr>
              <w:pStyle w:val="Normal"/>
            </w:pPr>
            <w:r>
              <w:t>A10BK 6 (35,3%)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2026-09-24T11:03:52Z</dcterms:modified>
  <cp:category/>
</cp:coreProperties>
</file>