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Soggetti con un farmaco tra il 2023 e il 2025 e in anagrafe almeno un giorno tra il 2023 e il 2025 (istanza)</w:t>
            </w:r>
          </w:p>
        </w:tc>
        <w:tc>
          <w:p>
            <w:pPr>
              <w:pStyle w:val="Normal"/>
            </w:pPr>
            <w:r>
              <w:t>5000</w:t>
            </w:r>
          </w:p>
        </w:tc>
      </w:tr>
      <w:tr>
        <w:tc>
          <w:p>
            <w:pPr>
              <w:pStyle w:val="Normal"/>
            </w:pPr>
            <w:r>
              <w:t>Soggetti con data di nascita e sesso compilati e validi</w:t>
            </w:r>
          </w:p>
        </w:tc>
        <w:tc>
          <w:p>
            <w:pPr>
              <w:pStyle w:val="Normal"/>
            </w:pPr>
            <w:r>
              <w:t>4.006 (80,1%)</w:t>
            </w:r>
          </w:p>
        </w:tc>
      </w:tr>
      <w:tr>
        <w:tc>
          <w:p>
            <w:pPr>
              <w:pStyle w:val="Normal"/>
            </w:pPr>
            <w:r>
              <w:t>Soggetti con un periodo di osservazione nel 2025</w:t>
            </w:r>
          </w:p>
        </w:tc>
        <w:tc>
          <w:p>
            <w:pPr>
              <w:pStyle w:val="Normal"/>
            </w:pPr>
            <w:r>
              <w:t>4.059 (81,2%)</w:t>
            </w:r>
          </w:p>
        </w:tc>
      </w:tr>
      <w:tr>
        <w:tc>
          <w:p>
            <w:pPr>
              <w:pStyle w:val="Normal"/>
            </w:pPr>
            <w:r>
              <w:t>Soggetti con un periodo di osservazione che comprende la data indice 31/12/2025</w:t>
            </w:r>
          </w:p>
        </w:tc>
        <w:tc>
          <w:p>
            <w:pPr>
              <w:pStyle w:val="Normal"/>
            </w:pPr>
            <w:r>
              <w:t>3.961 (79,2%)</w:t>
            </w:r>
          </w:p>
        </w:tc>
      </w:tr>
      <w:tr>
        <w:tc>
          <w:p>
            <w:pPr>
              <w:pStyle w:val="Normal"/>
            </w:pPr>
            <w:r>
              <w:t>Soggetti di età &gt;= 40 anni alla data indice</w:t>
            </w:r>
          </w:p>
        </w:tc>
        <w:tc>
          <w:p>
            <w:pPr>
              <w:pStyle w:val="Normal"/>
            </w:pPr>
            <w:r>
              <w:t>4.002 (80,0%)</w:t>
            </w:r>
          </w:p>
        </w:tc>
      </w:tr>
      <w:tr>
        <w:tc>
          <w:p>
            <w:pPr>
              <w:pStyle w:val="Normal"/>
            </w:pPr>
            <w:r>
              <w:t>Soggetti con almeno 3 anni di osservazione disponibili prima della data indice</w:t>
            </w:r>
          </w:p>
        </w:tc>
        <w:tc>
          <w:p>
            <w:pPr>
              <w:pStyle w:val="Normal"/>
            </w:pPr>
            <w:r>
              <w:t>4.047 (80,9%)</w:t>
            </w:r>
          </w:p>
        </w:tc>
      </w:tr>
      <w:tr>
        <w:tc>
          <w:p>
            <w:pPr>
              <w:pStyle w:val="Normal"/>
            </w:pPr>
            <w:r>
              <w:t>Soggetti con ASL registrata alla data indice</w:t>
            </w:r>
          </w:p>
        </w:tc>
        <w:tc>
          <w:p>
            <w:pPr>
              <w:pStyle w:val="Normal"/>
            </w:pPr>
            <w:r>
              <w:t>3.999 (80,0%)</w:t>
            </w:r>
          </w:p>
        </w:tc>
      </w:tr>
      <w:tr>
        <w:tc>
          <w:p>
            <w:pPr>
              <w:pStyle w:val="Normal"/>
            </w:pPr>
            <w:r>
              <w:t>Soggetti politrattati</w:t>
            </w:r>
          </w:p>
        </w:tc>
        <w:tc>
          <w:p>
            <w:pPr>
              <w:pStyle w:val="Normal"/>
            </w:pPr>
            <w:r>
              <w:t>4.001 (80,0%)</w:t>
            </w:r>
          </w:p>
        </w:tc>
      </w:tr>
      <w:tr>
        <w:tc>
          <w:p>
            <w:pPr>
              <w:pStyle w:val="Normal"/>
            </w:pPr>
            <w:r>
              <w:t>Totale soggetti inclusi nello studio</w:t>
            </w:r>
          </w:p>
        </w:tc>
        <w:tc>
          <w:p>
            <w:pPr>
              <w:pStyle w:val="Normal"/>
            </w:pPr>
            <w:r>
              <w:t>1.075 (21,5%)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2026-09-20T20:33:33Z</dcterms:modified>
  <cp:category/>
</cp:coreProperties>
</file>