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903</w:t>
            </w:r>
          </w:p>
        </w:tc>
        <w:tc>
          <w:p>
            <w:pPr>
              <w:pStyle w:val="Normal"/>
            </w:pPr>
            <w:r>
              <w:t>297</w:t>
            </w:r>
          </w:p>
        </w:tc>
        <w:tc>
          <w:p>
            <w:pPr>
              <w:pStyle w:val="Normal"/>
            </w:pPr>
            <w:r>
              <w:t>280</w:t>
            </w:r>
          </w:p>
        </w:tc>
        <w:tc>
          <w:p>
            <w:pPr>
              <w:pStyle w:val="Normal"/>
            </w:pPr>
            <w:r>
              <w:t>326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425 (47,1%)</w:t>
            </w:r>
          </w:p>
        </w:tc>
        <w:tc>
          <w:p>
            <w:pPr>
              <w:pStyle w:val="Normal"/>
            </w:pPr>
            <w:r>
              <w:t>137 (46,1%)</w:t>
            </w:r>
          </w:p>
        </w:tc>
        <w:tc>
          <w:p>
            <w:pPr>
              <w:pStyle w:val="Normal"/>
            </w:pPr>
            <w:r>
              <w:t>130 (46,4%)</w:t>
            </w:r>
          </w:p>
        </w:tc>
        <w:tc>
          <w:p>
            <w:pPr>
              <w:pStyle w:val="Normal"/>
            </w:pPr>
            <w:r>
              <w:t>158 (48,5%)</w:t>
            </w:r>
          </w:p>
        </w:tc>
      </w:tr>
      <w:tr>
        <w:tc>
          <w:p>
            <w:pPr>
              <w:pStyle w:val="Normal"/>
            </w:pPr>
            <w:r>
              <w:t>40-64 anni, n (%)</w:t>
            </w:r>
          </w:p>
        </w:tc>
        <w:tc>
          <w:p>
            <w:pPr>
              <w:pStyle w:val="Normal"/>
            </w:pPr>
            <w:r>
              <w:t>297 (32,9%)</w:t>
            </w:r>
          </w:p>
        </w:tc>
        <w:tc>
          <w:p>
            <w:pPr>
              <w:pStyle w:val="Normal"/>
            </w:pPr>
            <w:r>
              <w:t>106 (35,7%)</w:t>
            </w:r>
          </w:p>
        </w:tc>
        <w:tc>
          <w:p>
            <w:pPr>
              <w:pStyle w:val="Normal"/>
            </w:pPr>
            <w:r>
              <w:t>89 (31,8%)</w:t>
            </w:r>
          </w:p>
        </w:tc>
        <w:tc>
          <w:p>
            <w:pPr>
              <w:pStyle w:val="Normal"/>
            </w:pPr>
            <w:r>
              <w:t>102 (31,3%)</w:t>
            </w:r>
          </w:p>
        </w:tc>
      </w:tr>
      <w:tr>
        <w:tc>
          <w:p>
            <w:pPr>
              <w:pStyle w:val="Normal"/>
            </w:pPr>
            <w:r>
              <w:t>65-84 anni, n (%)</w:t>
            </w:r>
          </w:p>
        </w:tc>
        <w:tc>
          <w:p>
            <w:pPr>
              <w:pStyle w:val="Normal"/>
            </w:pPr>
            <w:r>
              <w:t>291 (32,2%)</w:t>
            </w:r>
          </w:p>
        </w:tc>
        <w:tc>
          <w:p>
            <w:pPr>
              <w:pStyle w:val="Normal"/>
            </w:pPr>
            <w:r>
              <w:t>83 (27,9%)</w:t>
            </w:r>
          </w:p>
        </w:tc>
        <w:tc>
          <w:p>
            <w:pPr>
              <w:pStyle w:val="Normal"/>
            </w:pPr>
            <w:r>
              <w:t>103 (36,8%)</w:t>
            </w:r>
          </w:p>
        </w:tc>
        <w:tc>
          <w:p>
            <w:pPr>
              <w:pStyle w:val="Normal"/>
            </w:pPr>
            <w:r>
              <w:t>105 (32,2%)</w:t>
            </w:r>
          </w:p>
        </w:tc>
      </w:tr>
      <w:tr>
        <w:tc>
          <w:p>
            <w:pPr>
              <w:pStyle w:val="Normal"/>
            </w:pPr>
            <w:r>
              <w:t>85+, n (%)</w:t>
            </w:r>
          </w:p>
        </w:tc>
        <w:tc>
          <w:p>
            <w:pPr>
              <w:pStyle w:val="Normal"/>
            </w:pPr>
            <w:r>
              <w:t>315 (34,9%)</w:t>
            </w:r>
          </w:p>
        </w:tc>
        <w:tc>
          <w:p>
            <w:pPr>
              <w:pStyle w:val="Normal"/>
            </w:pPr>
            <w:r>
              <w:t>108 (36,4%)</w:t>
            </w:r>
          </w:p>
        </w:tc>
        <w:tc>
          <w:p>
            <w:pPr>
              <w:pStyle w:val="Normal"/>
            </w:pPr>
            <w:r>
              <w:t>88 (31,4%)</w:t>
            </w:r>
          </w:p>
        </w:tc>
        <w:tc>
          <w:p>
            <w:pPr>
              <w:pStyle w:val="Normal"/>
            </w:pPr>
            <w:r>
              <w:t>119 (36,5%)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607 (67,2%)</w:t>
            </w:r>
          </w:p>
        </w:tc>
        <w:tc>
          <w:p>
            <w:pPr>
              <w:pStyle w:val="Normal"/>
            </w:pPr>
            <w:r>
              <w:t>202 (68,0%)</w:t>
            </w:r>
          </w:p>
        </w:tc>
        <w:tc>
          <w:p>
            <w:pPr>
              <w:pStyle w:val="Normal"/>
            </w:pPr>
            <w:r>
              <w:t>197 (70,4%)</w:t>
            </w:r>
          </w:p>
        </w:tc>
        <w:tc>
          <w:p>
            <w:pPr>
              <w:pStyle w:val="Normal"/>
            </w:pPr>
            <w:r>
              <w:t>208 (63,8%)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NA 75 (8,3%)</w:t>
            </w:r>
          </w:p>
        </w:tc>
        <w:tc>
          <w:p>
            <w:pPr>
              <w:pStyle w:val="Normal"/>
            </w:pPr>
            <w:r>
              <w:t>NA 26 (8,8%)</w:t>
            </w:r>
          </w:p>
        </w:tc>
        <w:tc>
          <w:p>
            <w:pPr>
              <w:pStyle w:val="Normal"/>
            </w:pPr>
            <w:r>
              <w:t>NA 25 (8,9%)</w:t>
            </w:r>
          </w:p>
        </w:tc>
        <w:tc>
          <w:p>
            <w:pPr>
              <w:pStyle w:val="Normal"/>
            </w:pPr>
            <w:r>
              <w:t>NA 30 (9,2%)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NA 69 (7,6%)</w:t>
            </w:r>
          </w:p>
        </w:tc>
        <w:tc>
          <w:p>
            <w:pPr>
              <w:pStyle w:val="Normal"/>
            </w:pPr>
            <w:r>
              <w:t>NA 26 (8,8%)</w:t>
            </w:r>
          </w:p>
        </w:tc>
        <w:tc>
          <w:p>
            <w:pPr>
              <w:pStyle w:val="Normal"/>
            </w:pPr>
            <w:r>
              <w:t>NA 25 (8,9%)</w:t>
            </w:r>
          </w:p>
        </w:tc>
        <w:tc>
          <w:p>
            <w:pPr>
              <w:pStyle w:val="Normal"/>
            </w:pPr>
            <w:r>
              <w:t>NA 28 (8,6%)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NA 66 (7,3%)</w:t>
            </w:r>
          </w:p>
        </w:tc>
        <w:tc>
          <w:p>
            <w:pPr>
              <w:pStyle w:val="Normal"/>
            </w:pPr>
            <w:r>
              <w:t>NA 26 (8,8%)</w:t>
            </w:r>
          </w:p>
        </w:tc>
        <w:tc>
          <w:p>
            <w:pPr>
              <w:pStyle w:val="Normal"/>
            </w:pPr>
            <w:r>
              <w:t>NA 25 (8,9%)</w:t>
            </w:r>
          </w:p>
        </w:tc>
        <w:tc>
          <w:p>
            <w:pPr>
              <w:pStyle w:val="Normal"/>
            </w:pPr>
            <w:r>
              <w:t>NA 28 (8,6%)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NA 64 (7,1%)</w:t>
            </w:r>
          </w:p>
        </w:tc>
        <w:tc>
          <w:p>
            <w:pPr>
              <w:pStyle w:val="Normal"/>
            </w:pPr>
            <w:r>
              <w:t>jj 24 (8,1%)</w:t>
            </w:r>
          </w:p>
        </w:tc>
        <w:tc>
          <w:p>
            <w:pPr>
              <w:pStyle w:val="Normal"/>
            </w:pPr>
            <w:r>
              <w:t>NA 24 (8,6%)</w:t>
            </w:r>
          </w:p>
        </w:tc>
        <w:tc>
          <w:p>
            <w:pPr>
              <w:pStyle w:val="Normal"/>
            </w:pPr>
            <w:r>
              <w:t>NA 28 (8,6%)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NA 63 (7,0%)</w:t>
            </w:r>
          </w:p>
        </w:tc>
        <w:tc>
          <w:p>
            <w:pPr>
              <w:pStyle w:val="Normal"/>
            </w:pPr>
            <w:r>
              <w:t>rr 24 (8,1%)</w:t>
            </w:r>
          </w:p>
        </w:tc>
        <w:tc>
          <w:p>
            <w:pPr>
              <w:pStyle w:val="Normal"/>
            </w:pPr>
            <w:r>
              <w:t>NA 24 (8,6%)</w:t>
            </w:r>
          </w:p>
        </w:tc>
        <w:tc>
          <w:p>
            <w:pPr>
              <w:pStyle w:val="Normal"/>
            </w:pPr>
            <w:r>
              <w:t>NA 28 (8,6%)</w:t>
            </w:r>
          </w:p>
        </w:tc>
      </w:tr>
      <w:tr>
        <w:tc>
          <w:p>
            <w:pPr>
              <w:pStyle w:val="Normal"/>
            </w:pPr>
            <w:r>
              <w:t>Combinazioni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e B10BD C10BD D10BD M10BD 186 (3,7%)</w:t>
            </w:r>
          </w:p>
        </w:tc>
        <w:tc>
          <w:p>
            <w:pPr>
              <w:pStyle w:val="Normal"/>
            </w:pPr>
            <w:r>
              <w:t>e B10BD C10BD D10BD M10BD 62 (3,7%)</w:t>
            </w:r>
          </w:p>
        </w:tc>
        <w:tc>
          <w:p>
            <w:pPr>
              <w:pStyle w:val="Normal"/>
            </w:pPr>
            <w:r>
              <w:t>e B10BD C10BD D10BD M10BD 66 (4,1%)</w:t>
            </w:r>
          </w:p>
        </w:tc>
        <w:tc>
          <w:p>
            <w:pPr>
              <w:pStyle w:val="Normal"/>
            </w:pPr>
            <w:r>
              <w:t>e B10BD C10BD J10BD M10BD 71 (4,2%)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B10BD C10BD D10BD J10BD M10BD 178 (3,6%)</w:t>
            </w:r>
          </w:p>
        </w:tc>
        <w:tc>
          <w:p>
            <w:pPr>
              <w:pStyle w:val="Normal"/>
            </w:pPr>
            <w:r>
              <w:t>e B10BD C10BD D10BD J10BD 54 (3,2%)</w:t>
            </w:r>
          </w:p>
        </w:tc>
        <w:tc>
          <w:p>
            <w:pPr>
              <w:pStyle w:val="Normal"/>
            </w:pPr>
            <w:r>
              <w:t>B10BD C10BD D10BD J10BD M10BD 62 (3,8%)</w:t>
            </w:r>
          </w:p>
        </w:tc>
        <w:tc>
          <w:p>
            <w:pPr>
              <w:pStyle w:val="Normal"/>
            </w:pPr>
            <w:r>
              <w:t>B10BD C10BD D10BD J10BD M10BD 65 (3,8%)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e B10BD C10BD J10BD M10BD 175 (3,5%)</w:t>
            </w:r>
          </w:p>
        </w:tc>
        <w:tc>
          <w:p>
            <w:pPr>
              <w:pStyle w:val="Normal"/>
            </w:pPr>
            <w:r>
              <w:t>e B10BD C10BD J10BD M10BD 52 (3,1%)</w:t>
            </w:r>
          </w:p>
        </w:tc>
        <w:tc>
          <w:p>
            <w:pPr>
              <w:pStyle w:val="Normal"/>
            </w:pPr>
            <w:r>
              <w:t>e B10BD C10BD D10BD J10BD 57 (3,5%)</w:t>
            </w:r>
          </w:p>
        </w:tc>
        <w:tc>
          <w:p>
            <w:pPr>
              <w:pStyle w:val="Normal"/>
            </w:pPr>
            <w:r>
              <w:t>e B10BD C10BD D10BD J10BD 62 (3,7%)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e B10BD C10BD D10BD J10BD 173 (3,5%)</w:t>
            </w:r>
          </w:p>
        </w:tc>
        <w:tc>
          <w:p>
            <w:pPr>
              <w:pStyle w:val="Normal"/>
            </w:pPr>
            <w:r>
              <w:t>B10BD C10BD D10BD J10BD M10BD 51 (3,0%)</w:t>
            </w:r>
          </w:p>
        </w:tc>
        <w:tc>
          <w:p>
            <w:pPr>
              <w:pStyle w:val="Normal"/>
            </w:pPr>
            <w:r>
              <w:t>e C10BD D10BD J10BD M10BD 55 (3,4%)</w:t>
            </w:r>
          </w:p>
        </w:tc>
        <w:tc>
          <w:p>
            <w:pPr>
              <w:pStyle w:val="Normal"/>
            </w:pPr>
            <w:r>
              <w:t>e B10BD D10BD J10BD M10BD 59 (3,5%)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e B10BD D10BD J10BD M10BD 162 (3,2%)</w:t>
            </w:r>
          </w:p>
        </w:tc>
        <w:tc>
          <w:p>
            <w:pPr>
              <w:pStyle w:val="Normal"/>
            </w:pPr>
            <w:r>
              <w:t>e B10BD D10BD J10BD M10BD 50 (3,0%)</w:t>
            </w:r>
          </w:p>
        </w:tc>
        <w:tc>
          <w:p>
            <w:pPr>
              <w:pStyle w:val="Normal"/>
            </w:pPr>
            <w:r>
              <w:t>e B10BD D10BD J10BD M10BD 53 (3,3%)</w:t>
            </w:r>
          </w:p>
        </w:tc>
        <w:tc>
          <w:p>
            <w:pPr>
              <w:pStyle w:val="Normal"/>
            </w:pPr>
            <w:r>
              <w:t>e B10BD C10BD D10BD M10BD 58 (3,4%)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2026-10-13T19:31:25Z</dcterms:modified>
  <cp:category/>
</cp:coreProperties>
</file>