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1629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B10BD C10BD C10BX C10CE 6 (0,4%)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 B10BD C10BD C10BH C10CE 5 (0,3%)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 A10BX B10BD C10BD C10CE 5 (0,3%)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A10AE A10BD B10BD B10BJ C10BD C10CE 5 (0,3%)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 B10AE B10BD B10BJ C10BD 5 (0,3%)</w:t>
            </w:r>
          </w:p>
        </w:tc>
      </w:tr>
      <w:tr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A10BD B10BD B10BE C10BD C10CE 5 (0,3%)</w:t>
            </w:r>
          </w:p>
        </w:tc>
      </w:tr>
      <w:tr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A10BD A10BK B10BD C10BD C10BK 5 (0,3%)</w:t>
            </w:r>
          </w:p>
        </w:tc>
      </w:tr>
      <w:tr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A10BD B10BD B10BJ C10BD C10CE 5 (0,3%)</w:t>
            </w:r>
          </w:p>
        </w:tc>
      </w:tr>
      <w:tr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A10AE A10BD B10BD B10BE C10BD 4 (0,2%)</w:t>
            </w:r>
          </w:p>
        </w:tc>
      </w:tr>
      <w:tr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A10BD B10BD C10BD C10BJ C10BX 4 (0,2%)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2026-09-24T15:58:57Z</dcterms:modified>
  <cp:category/>
</cp:coreProperties>
</file>