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1693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A10AE A10BD B10BD C10BD C10CE 9 (0,5%)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A10AE A10BD B10BD B10BX C10BD 6 (0,4%)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A10BD B10BD B10BE C10BD C10BH 5 (0,3%)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A10AE A10BD B10BD B10BK C10BD 5 (0,3%)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A10BD A10BJ B10BD B10BH C10BD 5 (0,3%)</w:t>
            </w:r>
          </w:p>
        </w:tc>
      </w:tr>
      <w:tr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A10BD B10BD B10BK C10BD C10CE 5 (0,3%)</w:t>
            </w:r>
          </w:p>
        </w:tc>
      </w:tr>
      <w:tr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A10AE A10BD B10BD C10BD C10BX 5 (0,3%)</w:t>
            </w:r>
          </w:p>
        </w:tc>
      </w:tr>
      <w:tr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A10BD A10BH A10BX B10BD C10BD 4 (0,2%)</w:t>
            </w:r>
          </w:p>
        </w:tc>
      </w:tr>
      <w:tr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A10AE A10BD B10BD B10BE C10BD 4 (0,2%)</w:t>
            </w:r>
          </w:p>
        </w:tc>
      </w:tr>
      <w:tr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A10BD B10AE B10BD B10BH C10BD 4 (0,2%)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2026-09-24T15:58:57Z</dcterms:modified>
  <cp:category/>
</cp:coreProperties>
</file>