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1678</w:t>
            </w:r>
          </w:p>
        </w:tc>
      </w:tr>
      <w:tr>
        <w:tc>
          <w:p>
            <w:pPr>
              <w:pStyle w:val="Normal"/>
            </w:pPr>
            <w:r>
              <w:t>Combinazioni ATC IV livello (*)</w:t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A10BD B10BD B10BX C10BD C10CE 9 (0,5%)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A10AE A10BD B10BD B10BE C10BD 8 (0,5%)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A10AE A10BD A10BJ B10BD C10BD 7 (0,4%)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A10AE A10BD B10BD C10BD C10CE 6 (0,4%)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A10AE A10BD B10BD B10BK C10BD 6 (0,4%)</w:t>
            </w:r>
          </w:p>
        </w:tc>
      </w:tr>
      <w:tr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A10BD A10BH B10BD C10BD C10CE 5 (0,3%)</w:t>
            </w:r>
          </w:p>
        </w:tc>
      </w:tr>
      <w:tr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A10BD A10BH A10BK B10BD C10BD 5 (0,3%)</w:t>
            </w:r>
          </w:p>
        </w:tc>
      </w:tr>
      <w:tr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A10BD A10BK B10BD C10BD C10BX 5 (0,3%)</w:t>
            </w:r>
          </w:p>
        </w:tc>
      </w:tr>
      <w:tr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A10AE A10BD B10BD B10BJ C10BD 5 (0,3%)</w:t>
            </w:r>
          </w:p>
        </w:tc>
      </w:tr>
      <w:tr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A10BD A10BJ B10BD C10BD C10CE 4 (0,2%)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2026-09-24T15:58:57Z</dcterms:modified>
  <cp:category/>
</cp:coreProperties>
</file>