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Tutte</w:t>
            </w:r>
          </w:p>
        </w:tc>
        <w:tc>
          <w:p>
            <w:pPr>
              <w:pStyle w:val="Normal"/>
            </w:pPr>
            <w:r>
              <w:t>Centro</w:t>
            </w:r>
          </w:p>
        </w:tc>
        <w:tc>
          <w:p>
            <w:pPr>
              <w:pStyle w:val="Normal"/>
            </w:pPr>
            <w:r>
              <w:t>Nord-Ovest</w:t>
            </w:r>
          </w:p>
        </w:tc>
        <w:tc>
          <w:p>
            <w:pPr>
              <w:pStyle w:val="Normal"/>
            </w:pPr>
            <w:r>
              <w:t>Sud-Est</w:t>
            </w:r>
          </w:p>
        </w:tc>
      </w:tr>
      <w:tr>
        <w:tc>
          <w:p>
            <w:pPr>
              <w:pStyle w:val="Normal"/>
            </w:pPr>
            <w:r>
              <w:t>Totale</w:t>
            </w:r>
          </w:p>
        </w:tc>
        <w:tc>
          <w:p>
            <w:pPr>
              <w:pStyle w:val="Normal"/>
            </w:pPr>
            <w:r>
              <w:t>2439</w:t>
            </w:r>
          </w:p>
        </w:tc>
        <w:tc>
          <w:p>
            <w:pPr>
              <w:pStyle w:val="Normal"/>
            </w:pPr>
            <w:r>
              <w:t>815</w:t>
            </w:r>
          </w:p>
        </w:tc>
        <w:tc>
          <w:p>
            <w:pPr>
              <w:pStyle w:val="Normal"/>
            </w:pPr>
            <w:r>
              <w:t>796</w:t>
            </w:r>
          </w:p>
        </w:tc>
        <w:tc>
          <w:p>
            <w:pPr>
              <w:pStyle w:val="Normal"/>
            </w:pPr>
            <w:r>
              <w:t>828</w:t>
            </w:r>
          </w:p>
        </w:tc>
      </w:tr>
      <w:tr>
        <w:tc>
          <w:p>
            <w:pPr>
              <w:pStyle w:val="Normal"/>
            </w:pPr>
            <w:r>
              <w:t>Donne, n (%)</w:t>
            </w:r>
          </w:p>
        </w:tc>
        <w:tc>
          <w:p>
            <w:pPr>
              <w:pStyle w:val="Normal"/>
            </w:pPr>
            <w:r>
              <w:t>1.211 (49,7%)</w:t>
            </w:r>
          </w:p>
        </w:tc>
        <w:tc>
          <w:p>
            <w:pPr>
              <w:pStyle w:val="Normal"/>
            </w:pPr>
            <w:r>
              <w:t>397 (48,7%)</w:t>
            </w:r>
          </w:p>
        </w:tc>
        <w:tc>
          <w:p>
            <w:pPr>
              <w:pStyle w:val="Normal"/>
            </w:pPr>
            <w:r>
              <w:t>402 (50,5%)</w:t>
            </w:r>
          </w:p>
        </w:tc>
        <w:tc>
          <w:p>
            <w:pPr>
              <w:pStyle w:val="Normal"/>
            </w:pPr>
            <w:r>
              <w:t>412 (49,8%)</w:t>
            </w:r>
          </w:p>
        </w:tc>
      </w:tr>
      <w:tr>
        <w:tc>
          <w:p>
            <w:pPr>
              <w:pStyle w:val="Normal"/>
            </w:pPr>
            <w:r>
              <w:t>40-64 anni, n (%)</w:t>
            </w:r>
          </w:p>
        </w:tc>
        <w:tc>
          <w:p>
            <w:pPr>
              <w:pStyle w:val="Normal"/>
            </w:pPr>
            <w:r>
              <w:t>843 (34,6%)</w:t>
            </w:r>
          </w:p>
        </w:tc>
        <w:tc>
          <w:p>
            <w:pPr>
              <w:pStyle w:val="Normal"/>
            </w:pPr>
            <w:r>
              <w:t>292 (35,8%)</w:t>
            </w:r>
          </w:p>
        </w:tc>
        <w:tc>
          <w:p>
            <w:pPr>
              <w:pStyle w:val="Normal"/>
            </w:pPr>
            <w:r>
              <w:t>282 (35,4%)</w:t>
            </w:r>
          </w:p>
        </w:tc>
        <w:tc>
          <w:p>
            <w:pPr>
              <w:pStyle w:val="Normal"/>
            </w:pPr>
            <w:r>
              <w:t>269 (32,5%)</w:t>
            </w:r>
          </w:p>
        </w:tc>
      </w:tr>
      <w:tr>
        <w:tc>
          <w:p>
            <w:pPr>
              <w:pStyle w:val="Normal"/>
            </w:pPr>
            <w:r>
              <w:t>65-84 anni, n (%)</w:t>
            </w:r>
          </w:p>
        </w:tc>
        <w:tc>
          <w:p>
            <w:pPr>
              <w:pStyle w:val="Normal"/>
            </w:pPr>
            <w:r>
              <w:t>811 (33,3%)</w:t>
            </w:r>
          </w:p>
        </w:tc>
        <w:tc>
          <w:p>
            <w:pPr>
              <w:pStyle w:val="Normal"/>
            </w:pPr>
            <w:r>
              <w:t>257 (31,5%)</w:t>
            </w:r>
          </w:p>
        </w:tc>
        <w:tc>
          <w:p>
            <w:pPr>
              <w:pStyle w:val="Normal"/>
            </w:pPr>
            <w:r>
              <w:t>265 (33,3%)</w:t>
            </w:r>
          </w:p>
        </w:tc>
        <w:tc>
          <w:p>
            <w:pPr>
              <w:pStyle w:val="Normal"/>
            </w:pPr>
            <w:r>
              <w:t>289 (34,9%)</w:t>
            </w:r>
          </w:p>
        </w:tc>
      </w:tr>
      <w:tr>
        <w:tc>
          <w:p>
            <w:pPr>
              <w:pStyle w:val="Normal"/>
            </w:pPr>
            <w:r>
              <w:t>85+, n (%)</w:t>
            </w:r>
          </w:p>
        </w:tc>
        <w:tc>
          <w:p>
            <w:pPr>
              <w:pStyle w:val="Normal"/>
            </w:pPr>
            <w:r>
              <w:t>785 (32,2%)</w:t>
            </w:r>
          </w:p>
        </w:tc>
        <w:tc>
          <w:p>
            <w:pPr>
              <w:pStyle w:val="Normal"/>
            </w:pPr>
            <w:r>
              <w:t>266 (32,6%)</w:t>
            </w:r>
          </w:p>
        </w:tc>
        <w:tc>
          <w:p>
            <w:pPr>
              <w:pStyle w:val="Normal"/>
            </w:pPr>
            <w:r>
              <w:t>249 (31,3%)</w:t>
            </w:r>
          </w:p>
        </w:tc>
        <w:tc>
          <w:p>
            <w:pPr>
              <w:pStyle w:val="Normal"/>
            </w:pPr>
            <w:r>
              <w:t>270 (32,6%)</w:t>
            </w:r>
          </w:p>
        </w:tc>
      </w:tr>
      <w:tr>
        <w:tc>
          <w:p>
            <w:pPr>
              <w:pStyle w:val="Normal"/>
            </w:pPr>
            <w:r>
              <w:t>Pazienti in iper-politerapia (≥10 farmaci ATC IV nello stesso mese per 3 mesi su 12)</w:t>
            </w:r>
          </w:p>
        </w:tc>
        <w:tc>
          <w:p>
            <w:pPr>
              <w:pStyle w:val="Normal"/>
            </w:pPr>
            <w:r>
              <w:t>1.614 (66,2%)</w:t>
            </w:r>
          </w:p>
        </w:tc>
        <w:tc>
          <w:p>
            <w:pPr>
              <w:pStyle w:val="Normal"/>
            </w:pPr>
            <w:r>
              <w:t>544 (66,7%)</w:t>
            </w:r>
          </w:p>
        </w:tc>
        <w:tc>
          <w:p>
            <w:pPr>
              <w:pStyle w:val="Normal"/>
            </w:pPr>
            <w:r>
              <w:t>536 (67,3%)</w:t>
            </w:r>
          </w:p>
        </w:tc>
        <w:tc>
          <w:p>
            <w:pPr>
              <w:pStyle w:val="Normal"/>
            </w:pPr>
            <w:r>
              <w:t>534 (64,5%)</w:t>
            </w:r>
          </w:p>
        </w:tc>
      </w:tr>
      <w:tr>
        <w:tc>
          <w:p>
            <w:pPr>
              <w:pStyle w:val="Normal"/>
            </w:pPr>
            <w:r>
              <w:t>Principi attivi più utilizzati (ATC V livello dispensati ≥ 3 volte in un anno)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NA 176 (7,2%)</w:t>
            </w:r>
          </w:p>
        </w:tc>
        <w:tc>
          <w:p>
            <w:pPr>
              <w:pStyle w:val="Normal"/>
            </w:pPr>
            <w:r>
              <w:t>mm 65 (8,0%)</w:t>
            </w:r>
          </w:p>
        </w:tc>
        <w:tc>
          <w:p>
            <w:pPr>
              <w:pStyle w:val="Normal"/>
            </w:pPr>
            <w:r>
              <w:t>NA 59 (7,4%)</w:t>
            </w:r>
          </w:p>
        </w:tc>
        <w:tc>
          <w:p>
            <w:pPr>
              <w:pStyle w:val="Normal"/>
            </w:pPr>
            <w:r>
              <w:t>NA 66 (8,0%)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mm 167 (6,8%)</w:t>
            </w:r>
          </w:p>
        </w:tc>
        <w:tc>
          <w:p>
            <w:pPr>
              <w:pStyle w:val="Normal"/>
            </w:pPr>
            <w:r>
              <w:t>kk 62 (7,6%)</w:t>
            </w:r>
          </w:p>
        </w:tc>
        <w:tc>
          <w:p>
            <w:pPr>
              <w:pStyle w:val="Normal"/>
            </w:pPr>
            <w:r>
              <w:t>NA 58 (7,3%)</w:t>
            </w:r>
          </w:p>
        </w:tc>
        <w:tc>
          <w:p>
            <w:pPr>
              <w:pStyle w:val="Normal"/>
            </w:pPr>
            <w:r>
              <w:t>NA 66 (8,0%)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NA 166 (6,8%)</w:t>
            </w:r>
          </w:p>
        </w:tc>
        <w:tc>
          <w:p>
            <w:pPr>
              <w:pStyle w:val="Normal"/>
            </w:pPr>
            <w:r>
              <w:t>NA 61 (7,5%)</w:t>
            </w:r>
          </w:p>
        </w:tc>
        <w:tc>
          <w:p>
            <w:pPr>
              <w:pStyle w:val="Normal"/>
            </w:pPr>
            <w:r>
              <w:t>ii 57 (7,2%)</w:t>
            </w:r>
          </w:p>
        </w:tc>
        <w:tc>
          <w:p>
            <w:pPr>
              <w:pStyle w:val="Normal"/>
            </w:pPr>
            <w:r>
              <w:t>NA 63 (7,6%)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NA 162 (6,6%)</w:t>
            </w:r>
          </w:p>
        </w:tc>
        <w:tc>
          <w:p>
            <w:pPr>
              <w:pStyle w:val="Normal"/>
            </w:pPr>
            <w:r>
              <w:t>NA 59 (7,2%)</w:t>
            </w:r>
          </w:p>
        </w:tc>
        <w:tc>
          <w:p>
            <w:pPr>
              <w:pStyle w:val="Normal"/>
            </w:pPr>
            <w:r>
              <w:t>NA 56 (7,0%)</w:t>
            </w:r>
          </w:p>
        </w:tc>
        <w:tc>
          <w:p>
            <w:pPr>
              <w:pStyle w:val="Normal"/>
            </w:pPr>
            <w:r>
              <w:t>NA 63 (7,6%)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NA 161 (6,6%)</w:t>
            </w:r>
          </w:p>
        </w:tc>
        <w:tc>
          <w:p>
            <w:pPr>
              <w:pStyle w:val="Normal"/>
            </w:pPr>
            <w:r>
              <w:t>pp 59 (7,2%)</w:t>
            </w:r>
          </w:p>
        </w:tc>
        <w:tc>
          <w:p>
            <w:pPr>
              <w:pStyle w:val="Normal"/>
            </w:pPr>
            <w:r>
              <w:t>NA 55 (6,9%)</w:t>
            </w:r>
          </w:p>
        </w:tc>
        <w:tc>
          <w:p>
            <w:pPr>
              <w:pStyle w:val="Normal"/>
            </w:pPr>
            <w:r>
              <w:t>NA 61 (7,4%)</w:t>
            </w:r>
          </w:p>
        </w:tc>
      </w:tr>
      <w:tr>
        <w:tc>
          <w:p>
            <w:pPr>
              <w:pStyle w:val="Normal"/>
            </w:pPr>
            <w:r>
              <w:t>Combinazioni ATC IV livello (*)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e B10BD C10BD D10BD M10BD 89 (3,6%)</w:t>
            </w:r>
          </w:p>
        </w:tc>
        <w:tc>
          <w:p>
            <w:pPr>
              <w:pStyle w:val="Normal"/>
            </w:pPr>
            <w:r>
              <w:t>e B10BD C10BD D10BD J10BD 30 (3,7%)</w:t>
            </w:r>
          </w:p>
        </w:tc>
        <w:tc>
          <w:p>
            <w:pPr>
              <w:pStyle w:val="Normal"/>
            </w:pPr>
            <w:r>
              <w:t>e B10BD C10BD D10BD M10BD 34 (4,3%)</w:t>
            </w:r>
          </w:p>
        </w:tc>
        <w:tc>
          <w:p>
            <w:pPr>
              <w:pStyle w:val="Normal"/>
            </w:pPr>
            <w:r>
              <w:t>e B10BD C10BD J10BD M10BD 35 (4,2%)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e B10BD C10BD J10BD M10BD 89 (3,6%)</w:t>
            </w:r>
          </w:p>
        </w:tc>
        <w:tc>
          <w:p>
            <w:pPr>
              <w:pStyle w:val="Normal"/>
            </w:pPr>
            <w:r>
              <w:t>e B10BD C10BD D10BD M10BD 27 (3,3%)</w:t>
            </w:r>
          </w:p>
        </w:tc>
        <w:tc>
          <w:p>
            <w:pPr>
              <w:pStyle w:val="Normal"/>
            </w:pPr>
            <w:r>
              <w:t>e C10BD D10BD J10BD M10BD 30 (3,8%)</w:t>
            </w:r>
          </w:p>
        </w:tc>
        <w:tc>
          <w:p>
            <w:pPr>
              <w:pStyle w:val="Normal"/>
            </w:pPr>
            <w:r>
              <w:t>B10BD C10BD D10BD J10BD M10BD 30 (3,6%)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e B10BD C10BD D10BD J10BD 83 (3,4%)</w:t>
            </w:r>
          </w:p>
        </w:tc>
        <w:tc>
          <w:p>
            <w:pPr>
              <w:pStyle w:val="Normal"/>
            </w:pPr>
            <w:r>
              <w:t>e B10BD C10BD J10BD M10BD 26 (3,2%)</w:t>
            </w:r>
          </w:p>
        </w:tc>
        <w:tc>
          <w:p>
            <w:pPr>
              <w:pStyle w:val="Normal"/>
            </w:pPr>
            <w:r>
              <w:t>B10BD C10BD D10BD J10BD M10BD 30 (3,8%)</w:t>
            </w:r>
          </w:p>
        </w:tc>
        <w:tc>
          <w:p>
            <w:pPr>
              <w:pStyle w:val="Normal"/>
            </w:pPr>
            <w:r>
              <w:t>e B10BD C10BD D10BD M10BD 28 (3,4%)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B10BD C10BD D10BD J10BD M10BD 83 (3,4%)</w:t>
            </w:r>
          </w:p>
        </w:tc>
        <w:tc>
          <w:p>
            <w:pPr>
              <w:pStyle w:val="Normal"/>
            </w:pPr>
            <w:r>
              <w:t>e B10BD D10BD J10BD M10BD 24 (2,9%)</w:t>
            </w:r>
          </w:p>
        </w:tc>
        <w:tc>
          <w:p>
            <w:pPr>
              <w:pStyle w:val="Normal"/>
            </w:pPr>
            <w:r>
              <w:t>e B10BD C10BD J10BD M10BD 28 (3,5%)</w:t>
            </w:r>
          </w:p>
        </w:tc>
        <w:tc>
          <w:p>
            <w:pPr>
              <w:pStyle w:val="Normal"/>
            </w:pPr>
            <w:r>
              <w:t>e B10BD C10BD D10BD J10BD 27 (3,3%)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e B10BD D10BD J10BD M10BD 76 (3,1%)</w:t>
            </w:r>
          </w:p>
        </w:tc>
        <w:tc>
          <w:p>
            <w:pPr>
              <w:pStyle w:val="Normal"/>
            </w:pPr>
            <w:r>
              <w:t>B10BD C10BD D10BD J10BD M10BD 23 (2,8%)</w:t>
            </w:r>
          </w:p>
        </w:tc>
        <w:tc>
          <w:p>
            <w:pPr>
              <w:pStyle w:val="Normal"/>
            </w:pPr>
            <w:r>
              <w:t>e B10BD C10BD D10BD J10BD 26 (3,3%)</w:t>
            </w:r>
          </w:p>
        </w:tc>
        <w:tc>
          <w:p>
            <w:pPr>
              <w:pStyle w:val="Normal"/>
            </w:pPr>
            <w:r>
              <w:t>e B10BD D10BD J10BD M10BD 26 (3,1%)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2026-10-15T13:28:39Z</dcterms:modified>
  <cp:category/>
</cp:coreProperties>
</file>