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Tutte</w:t>
            </w:r>
          </w:p>
        </w:tc>
        <w:tc>
          <w:p>
            <w:pPr>
              <w:pStyle w:val="Normal"/>
            </w:pPr>
            <w:r>
              <w:t>Centro</w:t>
            </w:r>
          </w:p>
        </w:tc>
        <w:tc>
          <w:p>
            <w:pPr>
              <w:pStyle w:val="Normal"/>
            </w:pPr>
            <w:r>
              <w:t>Nord-Ovest</w:t>
            </w:r>
          </w:p>
        </w:tc>
        <w:tc>
          <w:p>
            <w:pPr>
              <w:pStyle w:val="Normal"/>
            </w:pPr>
            <w:r>
              <w:t>Sud-Est</w:t>
            </w:r>
          </w:p>
        </w:tc>
      </w:tr>
      <w:tr>
        <w:tc>
          <w:p>
            <w:pPr>
              <w:pStyle w:val="Normal"/>
            </w:pPr>
            <w:r>
              <w:t>Totale</w:t>
            </w:r>
          </w:p>
        </w:tc>
        <w:tc>
          <w:p>
            <w:pPr>
              <w:pStyle w:val="Normal"/>
            </w:pPr>
            <w:r>
              <w:t>2884</w:t>
            </w:r>
          </w:p>
        </w:tc>
        <w:tc>
          <w:p>
            <w:pPr>
              <w:pStyle w:val="Normal"/>
            </w:pPr>
            <w:r>
              <w:t>964</w:t>
            </w:r>
          </w:p>
        </w:tc>
        <w:tc>
          <w:p>
            <w:pPr>
              <w:pStyle w:val="Normal"/>
            </w:pPr>
            <w:r>
              <w:t>949</w:t>
            </w:r>
          </w:p>
        </w:tc>
        <w:tc>
          <w:p>
            <w:pPr>
              <w:pStyle w:val="Normal"/>
            </w:pPr>
            <w:r>
              <w:t>971</w:t>
            </w:r>
          </w:p>
        </w:tc>
      </w:tr>
      <w:tr>
        <w:tc>
          <w:p>
            <w:pPr>
              <w:pStyle w:val="Normal"/>
            </w:pPr>
            <w:r>
              <w:t>Donne, n (%)</w:t>
            </w:r>
          </w:p>
        </w:tc>
        <w:tc>
          <w:p>
            <w:pPr>
              <w:pStyle w:val="Normal"/>
            </w:pPr>
            <w:r>
              <w:t>1.439 (49,9%)</w:t>
            </w:r>
          </w:p>
        </w:tc>
        <w:tc>
          <w:p>
            <w:pPr>
              <w:pStyle w:val="Normal"/>
            </w:pPr>
            <w:r>
              <w:t>484 (50,2%)</w:t>
            </w:r>
          </w:p>
        </w:tc>
        <w:tc>
          <w:p>
            <w:pPr>
              <w:pStyle w:val="Normal"/>
            </w:pPr>
            <w:r>
              <w:t>469 (49,4%)</w:t>
            </w:r>
          </w:p>
        </w:tc>
        <w:tc>
          <w:p>
            <w:pPr>
              <w:pStyle w:val="Normal"/>
            </w:pPr>
            <w:r>
              <w:t>486 (50,1%)</w:t>
            </w:r>
          </w:p>
        </w:tc>
      </w:tr>
      <w:tr>
        <w:tc>
          <w:p>
            <w:pPr>
              <w:pStyle w:val="Normal"/>
            </w:pPr>
            <w:r>
              <w:t>40-64 anni, n (%)</w:t>
            </w:r>
          </w:p>
        </w:tc>
        <w:tc>
          <w:p>
            <w:pPr>
              <w:pStyle w:val="Normal"/>
            </w:pPr>
            <w:r>
              <w:t>956 (33,1%)</w:t>
            </w:r>
          </w:p>
        </w:tc>
        <w:tc>
          <w:p>
            <w:pPr>
              <w:pStyle w:val="Normal"/>
            </w:pPr>
            <w:r>
              <w:t>309 (32,1%)</w:t>
            </w:r>
          </w:p>
        </w:tc>
        <w:tc>
          <w:p>
            <w:pPr>
              <w:pStyle w:val="Normal"/>
            </w:pPr>
            <w:r>
              <w:t>323 (34,0%)</w:t>
            </w:r>
          </w:p>
        </w:tc>
        <w:tc>
          <w:p>
            <w:pPr>
              <w:pStyle w:val="Normal"/>
            </w:pPr>
            <w:r>
              <w:t>324 (33,4%)</w:t>
            </w:r>
          </w:p>
        </w:tc>
      </w:tr>
      <w:tr>
        <w:tc>
          <w:p>
            <w:pPr>
              <w:pStyle w:val="Normal"/>
            </w:pPr>
            <w:r>
              <w:t>65-84 anni, n (%)</w:t>
            </w:r>
          </w:p>
        </w:tc>
        <w:tc>
          <w:p>
            <w:pPr>
              <w:pStyle w:val="Normal"/>
            </w:pPr>
            <w:r>
              <w:t>987 (34,2%)</w:t>
            </w:r>
          </w:p>
        </w:tc>
        <w:tc>
          <w:p>
            <w:pPr>
              <w:pStyle w:val="Normal"/>
            </w:pPr>
            <w:r>
              <w:t>329 (34,1%)</w:t>
            </w:r>
          </w:p>
        </w:tc>
        <w:tc>
          <w:p>
            <w:pPr>
              <w:pStyle w:val="Normal"/>
            </w:pPr>
            <w:r>
              <w:t>320 (33,7%)</w:t>
            </w:r>
          </w:p>
        </w:tc>
        <w:tc>
          <w:p>
            <w:pPr>
              <w:pStyle w:val="Normal"/>
            </w:pPr>
            <w:r>
              <w:t>338 (34,8%)</w:t>
            </w:r>
          </w:p>
        </w:tc>
      </w:tr>
      <w:tr>
        <w:tc>
          <w:p>
            <w:pPr>
              <w:pStyle w:val="Normal"/>
            </w:pPr>
            <w:r>
              <w:t>85+, n (%)</w:t>
            </w:r>
          </w:p>
        </w:tc>
        <w:tc>
          <w:p>
            <w:pPr>
              <w:pStyle w:val="Normal"/>
            </w:pPr>
            <w:r>
              <w:t>941 (32,6%)</w:t>
            </w:r>
          </w:p>
        </w:tc>
        <w:tc>
          <w:p>
            <w:pPr>
              <w:pStyle w:val="Normal"/>
            </w:pPr>
            <w:r>
              <w:t>326 (33,8%)</w:t>
            </w:r>
          </w:p>
        </w:tc>
        <w:tc>
          <w:p>
            <w:pPr>
              <w:pStyle w:val="Normal"/>
            </w:pPr>
            <w:r>
              <w:t>306 (32,2%)</w:t>
            </w:r>
          </w:p>
        </w:tc>
        <w:tc>
          <w:p>
            <w:pPr>
              <w:pStyle w:val="Normal"/>
            </w:pPr>
            <w:r>
              <w:t>309 (31,8%)</w:t>
            </w:r>
          </w:p>
        </w:tc>
      </w:tr>
      <w:tr>
        <w:tc>
          <w:p>
            <w:pPr>
              <w:pStyle w:val="Normal"/>
            </w:pPr>
            <w:r>
              <w:t>Pazienti in iper-politerapia (≥10 farmaci ATC IV nello stesso mese per 3 mesi su 12)</w:t>
            </w:r>
          </w:p>
        </w:tc>
        <w:tc>
          <w:p>
            <w:pPr>
              <w:pStyle w:val="Normal"/>
            </w:pPr>
            <w:r>
              <w:t>1.928 (66,9%)</w:t>
            </w:r>
          </w:p>
        </w:tc>
        <w:tc>
          <w:p>
            <w:pPr>
              <w:pStyle w:val="Normal"/>
            </w:pPr>
            <w:r>
              <w:t>644 (66,8%)</w:t>
            </w:r>
          </w:p>
        </w:tc>
        <w:tc>
          <w:p>
            <w:pPr>
              <w:pStyle w:val="Normal"/>
            </w:pPr>
            <w:r>
              <w:t>634 (66,8%)</w:t>
            </w:r>
          </w:p>
        </w:tc>
        <w:tc>
          <w:p>
            <w:pPr>
              <w:pStyle w:val="Normal"/>
            </w:pPr>
            <w:r>
              <w:t>650 (66,9%)</w:t>
            </w:r>
          </w:p>
        </w:tc>
      </w:tr>
      <w:tr>
        <w:tc>
          <w:p>
            <w:pPr>
              <w:pStyle w:val="Normal"/>
            </w:pPr>
            <w:r>
              <w:t>Principi attivi più utilizzati (ATC V livello dispensati ≥ 3 volte in un anno)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mm 192 (6,7%)</w:t>
            </w:r>
          </w:p>
        </w:tc>
        <w:tc>
          <w:p>
            <w:pPr>
              <w:pStyle w:val="Normal"/>
            </w:pPr>
            <w:r>
              <w:t>NA 73 (7,6%)</w:t>
            </w:r>
          </w:p>
        </w:tc>
        <w:tc>
          <w:p>
            <w:pPr>
              <w:pStyle w:val="Normal"/>
            </w:pPr>
            <w:r>
              <w:t>NA 78 (8,2%)</w:t>
            </w:r>
          </w:p>
        </w:tc>
        <w:tc>
          <w:p>
            <w:pPr>
              <w:pStyle w:val="Normal"/>
            </w:pPr>
            <w:r>
              <w:t>NA 75 (7,7%)</w:t>
            </w:r>
          </w:p>
        </w:tc>
      </w:tr>
      <w:tr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NA 190 (6,6%)</w:t>
            </w:r>
          </w:p>
        </w:tc>
        <w:tc>
          <w:p>
            <w:pPr>
              <w:pStyle w:val="Normal"/>
            </w:pPr>
            <w:r>
              <w:t>NA 69 (7,2%)</w:t>
            </w:r>
          </w:p>
        </w:tc>
        <w:tc>
          <w:p>
            <w:pPr>
              <w:pStyle w:val="Normal"/>
            </w:pPr>
            <w:r>
              <w:t>NA 73 (7,7%)</w:t>
            </w:r>
          </w:p>
        </w:tc>
        <w:tc>
          <w:p>
            <w:pPr>
              <w:pStyle w:val="Normal"/>
            </w:pPr>
            <w:r>
              <w:t>NA 75 (7,7%)</w:t>
            </w:r>
          </w:p>
        </w:tc>
      </w:tr>
      <w:tr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NA 190 (6,6%)</w:t>
            </w:r>
          </w:p>
        </w:tc>
        <w:tc>
          <w:p>
            <w:pPr>
              <w:pStyle w:val="Normal"/>
            </w:pPr>
            <w:r>
              <w:t>NA 68 (7,1%)</w:t>
            </w:r>
          </w:p>
        </w:tc>
        <w:tc>
          <w:p>
            <w:pPr>
              <w:pStyle w:val="Normal"/>
            </w:pPr>
            <w:r>
              <w:t>oo 67 (7,1%)</w:t>
            </w:r>
          </w:p>
        </w:tc>
        <w:tc>
          <w:p>
            <w:pPr>
              <w:pStyle w:val="Normal"/>
            </w:pPr>
            <w:r>
              <w:t>NA 71 (7,3%)</w:t>
            </w:r>
          </w:p>
        </w:tc>
      </w:tr>
      <w:tr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NA 188 (6,5%)</w:t>
            </w:r>
          </w:p>
        </w:tc>
        <w:tc>
          <w:p>
            <w:pPr>
              <w:pStyle w:val="Normal"/>
            </w:pPr>
            <w:r>
              <w:t>NA 67 (7,0%)</w:t>
            </w:r>
          </w:p>
        </w:tc>
        <w:tc>
          <w:p>
            <w:pPr>
              <w:pStyle w:val="Normal"/>
            </w:pPr>
            <w:r>
              <w:t>NA 67 (7,1%)</w:t>
            </w:r>
          </w:p>
        </w:tc>
        <w:tc>
          <w:p>
            <w:pPr>
              <w:pStyle w:val="Normal"/>
            </w:pPr>
            <w:r>
              <w:t>NA 70 (7,2%)</w:t>
            </w:r>
          </w:p>
        </w:tc>
      </w:tr>
      <w:tr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NA 184 (6,4%)</w:t>
            </w:r>
          </w:p>
        </w:tc>
        <w:tc>
          <w:p>
            <w:pPr>
              <w:pStyle w:val="Normal"/>
            </w:pPr>
            <w:r>
              <w:t>gg 67 (7,0%)</w:t>
            </w:r>
          </w:p>
        </w:tc>
        <w:tc>
          <w:p>
            <w:pPr>
              <w:pStyle w:val="Normal"/>
            </w:pPr>
            <w:r>
              <w:t>NA 66 (7,0%)</w:t>
            </w:r>
          </w:p>
        </w:tc>
        <w:tc>
          <w:p>
            <w:pPr>
              <w:pStyle w:val="Normal"/>
            </w:pPr>
            <w:r>
              <w:t>NA 70 (7,2%)</w:t>
            </w:r>
          </w:p>
        </w:tc>
      </w:tr>
      <w:tr>
        <w:tc>
          <w:p>
            <w:pPr>
              <w:pStyle w:val="Normal"/>
            </w:pPr>
            <w:r>
              <w:t>Combinazioni ATC IV livello (*)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e B10BD C10BD D10BD M10BD 186 (3,7%)</w:t>
            </w:r>
          </w:p>
        </w:tc>
        <w:tc>
          <w:p>
            <w:pPr>
              <w:pStyle w:val="Normal"/>
            </w:pPr>
            <w:r>
              <w:t>e B10BD C10BD D10BD M10BD 62 (3,7%)</w:t>
            </w:r>
          </w:p>
        </w:tc>
        <w:tc>
          <w:p>
            <w:pPr>
              <w:pStyle w:val="Normal"/>
            </w:pPr>
            <w:r>
              <w:t>e B10BD C10BD D10BD M10BD 66 (4,1%)</w:t>
            </w:r>
          </w:p>
        </w:tc>
        <w:tc>
          <w:p>
            <w:pPr>
              <w:pStyle w:val="Normal"/>
            </w:pPr>
            <w:r>
              <w:t>e B10BD C10BD J10BD M10BD 71 (4,2%)</w:t>
            </w:r>
          </w:p>
        </w:tc>
      </w:tr>
      <w:tr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B10BD C10BD D10BD J10BD M10BD 178 (3,6%)</w:t>
            </w:r>
          </w:p>
        </w:tc>
        <w:tc>
          <w:p>
            <w:pPr>
              <w:pStyle w:val="Normal"/>
            </w:pPr>
            <w:r>
              <w:t>e B10BD C10BD D10BD J10BD 54 (3,2%)</w:t>
            </w:r>
          </w:p>
        </w:tc>
        <w:tc>
          <w:p>
            <w:pPr>
              <w:pStyle w:val="Normal"/>
            </w:pPr>
            <w:r>
              <w:t>B10BD C10BD D10BD J10BD M10BD 62 (3,8%)</w:t>
            </w:r>
          </w:p>
        </w:tc>
        <w:tc>
          <w:p>
            <w:pPr>
              <w:pStyle w:val="Normal"/>
            </w:pPr>
            <w:r>
              <w:t>B10BD C10BD D10BD J10BD M10BD 65 (3,8%)</w:t>
            </w:r>
          </w:p>
        </w:tc>
      </w:tr>
      <w:tr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e B10BD C10BD J10BD M10BD 175 (3,5%)</w:t>
            </w:r>
          </w:p>
        </w:tc>
        <w:tc>
          <w:p>
            <w:pPr>
              <w:pStyle w:val="Normal"/>
            </w:pPr>
            <w:r>
              <w:t>e B10BD C10BD J10BD M10BD 52 (3,1%)</w:t>
            </w:r>
          </w:p>
        </w:tc>
        <w:tc>
          <w:p>
            <w:pPr>
              <w:pStyle w:val="Normal"/>
            </w:pPr>
            <w:r>
              <w:t>e B10BD C10BD D10BD J10BD 57 (3,5%)</w:t>
            </w:r>
          </w:p>
        </w:tc>
        <w:tc>
          <w:p>
            <w:pPr>
              <w:pStyle w:val="Normal"/>
            </w:pPr>
            <w:r>
              <w:t>e B10BD C10BD D10BD J10BD 62 (3,7%)</w:t>
            </w:r>
          </w:p>
        </w:tc>
      </w:tr>
      <w:tr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e B10BD C10BD D10BD J10BD 173 (3,5%)</w:t>
            </w:r>
          </w:p>
        </w:tc>
        <w:tc>
          <w:p>
            <w:pPr>
              <w:pStyle w:val="Normal"/>
            </w:pPr>
            <w:r>
              <w:t>B10BD C10BD D10BD J10BD M10BD 51 (3,0%)</w:t>
            </w:r>
          </w:p>
        </w:tc>
        <w:tc>
          <w:p>
            <w:pPr>
              <w:pStyle w:val="Normal"/>
            </w:pPr>
            <w:r>
              <w:t>e C10BD D10BD J10BD M10BD 55 (3,4%)</w:t>
            </w:r>
          </w:p>
        </w:tc>
        <w:tc>
          <w:p>
            <w:pPr>
              <w:pStyle w:val="Normal"/>
            </w:pPr>
            <w:r>
              <w:t>e B10BD D10BD J10BD M10BD 59 (3,5%)</w:t>
            </w:r>
          </w:p>
        </w:tc>
      </w:tr>
      <w:tr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e B10BD D10BD J10BD M10BD 162 (3,2%)</w:t>
            </w:r>
          </w:p>
        </w:tc>
        <w:tc>
          <w:p>
            <w:pPr>
              <w:pStyle w:val="Normal"/>
            </w:pPr>
            <w:r>
              <w:t>e B10BD D10BD J10BD M10BD 50 (3,0%)</w:t>
            </w:r>
          </w:p>
        </w:tc>
        <w:tc>
          <w:p>
            <w:pPr>
              <w:pStyle w:val="Normal"/>
            </w:pPr>
            <w:r>
              <w:t>e B10BD D10BD J10BD M10BD 53 (3,3%)</w:t>
            </w:r>
          </w:p>
        </w:tc>
        <w:tc>
          <w:p>
            <w:pPr>
              <w:pStyle w:val="Normal"/>
            </w:pPr>
            <w:r>
              <w:t>e B10BD C10BD D10BD M10BD 58 (3,4%)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2026-10-13T19:31:25Z</dcterms:modified>
  <cp:category/>
</cp:coreProperties>
</file>