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Tutte</w:t>
            </w:r>
          </w:p>
        </w:tc>
        <w:tc>
          <w:p>
            <w:pPr>
              <w:pStyle w:val="Normal"/>
            </w:pPr>
            <w:r>
              <w:t>Centro</w:t>
            </w:r>
          </w:p>
        </w:tc>
        <w:tc>
          <w:p>
            <w:pPr>
              <w:pStyle w:val="Normal"/>
            </w:pPr>
            <w:r>
              <w:t>Nord-Ovest</w:t>
            </w:r>
          </w:p>
        </w:tc>
        <w:tc>
          <w:p>
            <w:pPr>
              <w:pStyle w:val="Normal"/>
            </w:pPr>
            <w:r>
              <w:t>Sud-Est</w:t>
            </w:r>
          </w:p>
        </w:tc>
      </w:tr>
      <w:tr>
        <w:tc>
          <w:p>
            <w:pPr>
              <w:pStyle w:val="Normal"/>
            </w:pPr>
            <w:r>
              <w:t>Totale</w:t>
            </w:r>
          </w:p>
        </w:tc>
        <w:tc>
          <w:p>
            <w:pPr>
              <w:pStyle w:val="Normal"/>
            </w:pPr>
            <w:r>
              <w:t>3262</w:t>
            </w:r>
          </w:p>
        </w:tc>
        <w:tc>
          <w:p>
            <w:pPr>
              <w:pStyle w:val="Normal"/>
            </w:pPr>
            <w:r>
              <w:t>1087</w:t>
            </w:r>
          </w:p>
        </w:tc>
        <w:tc>
          <w:p>
            <w:pPr>
              <w:pStyle w:val="Normal"/>
            </w:pPr>
            <w:r>
              <w:t>1067</w:t>
            </w:r>
          </w:p>
        </w:tc>
        <w:tc>
          <w:p>
            <w:pPr>
              <w:pStyle w:val="Normal"/>
            </w:pPr>
            <w:r>
              <w:t>1108</w:t>
            </w:r>
          </w:p>
        </w:tc>
      </w:tr>
      <w:tr>
        <w:tc>
          <w:p>
            <w:pPr>
              <w:pStyle w:val="Normal"/>
            </w:pPr>
            <w:r>
              <w:t>Donne, n (%)</w:t>
            </w:r>
          </w:p>
        </w:tc>
        <w:tc>
          <w:p>
            <w:pPr>
              <w:pStyle w:val="Normal"/>
            </w:pPr>
            <w:r>
              <w:t>1.599 (49,0%)</w:t>
            </w:r>
          </w:p>
        </w:tc>
        <w:tc>
          <w:p>
            <w:pPr>
              <w:pStyle w:val="Normal"/>
            </w:pPr>
            <w:r>
              <w:t>524 (48,2%)</w:t>
            </w:r>
          </w:p>
        </w:tc>
        <w:tc>
          <w:p>
            <w:pPr>
              <w:pStyle w:val="Normal"/>
            </w:pPr>
            <w:r>
              <w:t>530 (49,7%)</w:t>
            </w:r>
          </w:p>
        </w:tc>
        <w:tc>
          <w:p>
            <w:pPr>
              <w:pStyle w:val="Normal"/>
            </w:pPr>
            <w:r>
              <w:t>545 (49,2%)</w:t>
            </w:r>
          </w:p>
        </w:tc>
      </w:tr>
      <w:tr>
        <w:tc>
          <w:p>
            <w:pPr>
              <w:pStyle w:val="Normal"/>
            </w:pPr>
            <w:r>
              <w:t>40-64 anni, n (%)</w:t>
            </w:r>
          </w:p>
        </w:tc>
        <w:tc>
          <w:p>
            <w:pPr>
              <w:pStyle w:val="Normal"/>
            </w:pPr>
            <w:r>
              <w:t>1.117 (34,2%)</w:t>
            </w:r>
          </w:p>
        </w:tc>
        <w:tc>
          <w:p>
            <w:pPr>
              <w:pStyle w:val="Normal"/>
            </w:pPr>
            <w:r>
              <w:t>377 (34,7%)</w:t>
            </w:r>
          </w:p>
        </w:tc>
        <w:tc>
          <w:p>
            <w:pPr>
              <w:pStyle w:val="Normal"/>
            </w:pPr>
            <w:r>
              <w:t>384 (36,0%)</w:t>
            </w:r>
          </w:p>
        </w:tc>
        <w:tc>
          <w:p>
            <w:pPr>
              <w:pStyle w:val="Normal"/>
            </w:pPr>
            <w:r>
              <w:t>356 (32,1%)</w:t>
            </w:r>
          </w:p>
        </w:tc>
      </w:tr>
      <w:tr>
        <w:tc>
          <w:p>
            <w:pPr>
              <w:pStyle w:val="Normal"/>
            </w:pPr>
            <w:r>
              <w:t>65-84 anni, n (%)</w:t>
            </w:r>
          </w:p>
        </w:tc>
        <w:tc>
          <w:p>
            <w:pPr>
              <w:pStyle w:val="Normal"/>
            </w:pPr>
            <w:r>
              <w:t>1.086 (33,3%)</w:t>
            </w:r>
          </w:p>
        </w:tc>
        <w:tc>
          <w:p>
            <w:pPr>
              <w:pStyle w:val="Normal"/>
            </w:pPr>
            <w:r>
              <w:t>358 (32,9%)</w:t>
            </w:r>
          </w:p>
        </w:tc>
        <w:tc>
          <w:p>
            <w:pPr>
              <w:pStyle w:val="Normal"/>
            </w:pPr>
            <w:r>
              <w:t>346 (32,4%)</w:t>
            </w:r>
          </w:p>
        </w:tc>
        <w:tc>
          <w:p>
            <w:pPr>
              <w:pStyle w:val="Normal"/>
            </w:pPr>
            <w:r>
              <w:t>382 (34,5%)</w:t>
            </w:r>
          </w:p>
        </w:tc>
      </w:tr>
      <w:tr>
        <w:tc>
          <w:p>
            <w:pPr>
              <w:pStyle w:val="Normal"/>
            </w:pPr>
            <w:r>
              <w:t>85+, n (%)</w:t>
            </w:r>
          </w:p>
        </w:tc>
        <w:tc>
          <w:p>
            <w:pPr>
              <w:pStyle w:val="Normal"/>
            </w:pPr>
            <w:r>
              <w:t>1.059 (32,5%)</w:t>
            </w:r>
          </w:p>
        </w:tc>
        <w:tc>
          <w:p>
            <w:pPr>
              <w:pStyle w:val="Normal"/>
            </w:pPr>
            <w:r>
              <w:t>352 (32,4%)</w:t>
            </w:r>
          </w:p>
        </w:tc>
        <w:tc>
          <w:p>
            <w:pPr>
              <w:pStyle w:val="Normal"/>
            </w:pPr>
            <w:r>
              <w:t>337 (31,6%)</w:t>
            </w:r>
          </w:p>
        </w:tc>
        <w:tc>
          <w:p>
            <w:pPr>
              <w:pStyle w:val="Normal"/>
            </w:pPr>
            <w:r>
              <w:t>370 (33,4%)</w:t>
            </w:r>
          </w:p>
        </w:tc>
      </w:tr>
      <w:tr>
        <w:tc>
          <w:p>
            <w:pPr>
              <w:pStyle w:val="Normal"/>
            </w:pPr>
            <w:r>
              <w:t>Pazienti in iper-politerapia (≥10 farmaci ATC IV nello stesso mese per 3 mesi su 12)</w:t>
            </w:r>
          </w:p>
        </w:tc>
        <w:tc>
          <w:p>
            <w:pPr>
              <w:pStyle w:val="Normal"/>
            </w:pPr>
            <w:r>
              <w:t>2.192 (67,2%)</w:t>
            </w:r>
          </w:p>
        </w:tc>
        <w:tc>
          <w:p>
            <w:pPr>
              <w:pStyle w:val="Normal"/>
            </w:pPr>
            <w:r>
              <w:t>732 (67,3%)</w:t>
            </w:r>
          </w:p>
        </w:tc>
        <w:tc>
          <w:p>
            <w:pPr>
              <w:pStyle w:val="Normal"/>
            </w:pPr>
            <w:r>
              <w:t>726 (68,0%)</w:t>
            </w:r>
          </w:p>
        </w:tc>
        <w:tc>
          <w:p>
            <w:pPr>
              <w:pStyle w:val="Normal"/>
            </w:pPr>
            <w:r>
              <w:t>734 (66,2%)</w:t>
            </w:r>
          </w:p>
        </w:tc>
      </w:tr>
      <w:tr>
        <w:tc>
          <w:p>
            <w:pPr>
              <w:pStyle w:val="Normal"/>
            </w:pPr>
            <w:r>
              <w:t>Principi attivi più utilizzati (ATC V livello dispensati ≥ 3 volte in un anno)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NA 229 (7,0%)</w:t>
            </w:r>
          </w:p>
        </w:tc>
        <w:tc>
          <w:p>
            <w:pPr>
              <w:pStyle w:val="Normal"/>
            </w:pPr>
            <w:r>
              <w:t>kk 83 (7,6%)</w:t>
            </w:r>
          </w:p>
        </w:tc>
        <w:tc>
          <w:p>
            <w:pPr>
              <w:pStyle w:val="Normal"/>
            </w:pPr>
            <w:r>
              <w:t>NA 83 (7,8%)</w:t>
            </w:r>
          </w:p>
        </w:tc>
        <w:tc>
          <w:p>
            <w:pPr>
              <w:pStyle w:val="Normal"/>
            </w:pPr>
            <w:r>
              <w:t>NA 87 (7,9%)</w:t>
            </w:r>
          </w:p>
        </w:tc>
      </w:tr>
      <w:tr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NA 221 (6,8%)</w:t>
            </w:r>
          </w:p>
        </w:tc>
        <w:tc>
          <w:p>
            <w:pPr>
              <w:pStyle w:val="Normal"/>
            </w:pPr>
            <w:r>
              <w:t>NA 80 (7,4%)</w:t>
            </w:r>
          </w:p>
        </w:tc>
        <w:tc>
          <w:p>
            <w:pPr>
              <w:pStyle w:val="Normal"/>
            </w:pPr>
            <w:r>
              <w:t>NA 80 (7,5%)</w:t>
            </w:r>
          </w:p>
        </w:tc>
        <w:tc>
          <w:p>
            <w:pPr>
              <w:pStyle w:val="Normal"/>
            </w:pPr>
            <w:r>
              <w:t>NA 84 (7,6%)</w:t>
            </w:r>
          </w:p>
        </w:tc>
      </w:tr>
      <w:tr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NA 215 (6,6%)</w:t>
            </w:r>
          </w:p>
        </w:tc>
        <w:tc>
          <w:p>
            <w:pPr>
              <w:pStyle w:val="Normal"/>
            </w:pPr>
            <w:r>
              <w:t>NA 80 (7,4%)</w:t>
            </w:r>
          </w:p>
        </w:tc>
        <w:tc>
          <w:p>
            <w:pPr>
              <w:pStyle w:val="Normal"/>
            </w:pPr>
            <w:r>
              <w:t>NA 79 (7,4%)</w:t>
            </w:r>
          </w:p>
        </w:tc>
        <w:tc>
          <w:p>
            <w:pPr>
              <w:pStyle w:val="Normal"/>
            </w:pPr>
            <w:r>
              <w:t>NA 83 (7,5%)</w:t>
            </w:r>
          </w:p>
        </w:tc>
      </w:tr>
      <w:tr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NA 211 (6,5%)</w:t>
            </w:r>
          </w:p>
        </w:tc>
        <w:tc>
          <w:p>
            <w:pPr>
              <w:pStyle w:val="Normal"/>
            </w:pPr>
            <w:r>
              <w:t>NA 77 (7,1%)</w:t>
            </w:r>
          </w:p>
        </w:tc>
        <w:tc>
          <w:p>
            <w:pPr>
              <w:pStyle w:val="Normal"/>
            </w:pPr>
            <w:r>
              <w:t>NA 78 (7,3%)</w:t>
            </w:r>
          </w:p>
        </w:tc>
        <w:tc>
          <w:p>
            <w:pPr>
              <w:pStyle w:val="Normal"/>
            </w:pPr>
            <w:r>
              <w:t>NA 82 (7,4%)</w:t>
            </w:r>
          </w:p>
        </w:tc>
      </w:tr>
      <w:tr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kk 208 (6,4%)</w:t>
            </w:r>
          </w:p>
        </w:tc>
        <w:tc>
          <w:p>
            <w:pPr>
              <w:pStyle w:val="Normal"/>
            </w:pPr>
            <w:r>
              <w:t>NA 77 (7,1%)</w:t>
            </w:r>
          </w:p>
        </w:tc>
        <w:tc>
          <w:p>
            <w:pPr>
              <w:pStyle w:val="Normal"/>
            </w:pPr>
            <w:r>
              <w:t>NA 74 (6,9%)</w:t>
            </w:r>
          </w:p>
        </w:tc>
        <w:tc>
          <w:p>
            <w:pPr>
              <w:pStyle w:val="Normal"/>
            </w:pPr>
            <w:r>
              <w:t>NA 80 (7,2%)</w:t>
            </w:r>
          </w:p>
        </w:tc>
      </w:tr>
      <w:tr>
        <w:tc>
          <w:p>
            <w:pPr>
              <w:pStyle w:val="Normal"/>
            </w:pPr>
            <w:r>
              <w:t>Combinazioni ATC IV livello (*)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e B10BD C10BD D10BD M10BD 186 (3,7%)</w:t>
            </w:r>
          </w:p>
        </w:tc>
        <w:tc>
          <w:p>
            <w:pPr>
              <w:pStyle w:val="Normal"/>
            </w:pPr>
            <w:r>
              <w:t>e B10BD C10BD D10BD M10BD 62 (3,7%)</w:t>
            </w:r>
          </w:p>
        </w:tc>
        <w:tc>
          <w:p>
            <w:pPr>
              <w:pStyle w:val="Normal"/>
            </w:pPr>
            <w:r>
              <w:t>e B10BD C10BD D10BD M10BD 66 (4,1%)</w:t>
            </w:r>
          </w:p>
        </w:tc>
        <w:tc>
          <w:p>
            <w:pPr>
              <w:pStyle w:val="Normal"/>
            </w:pPr>
            <w:r>
              <w:t>e B10BD C10BD J10BD M10BD 71 (4,2%)</w:t>
            </w:r>
          </w:p>
        </w:tc>
      </w:tr>
      <w:tr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B10BD C10BD D10BD J10BD M10BD 178 (3,6%)</w:t>
            </w:r>
          </w:p>
        </w:tc>
        <w:tc>
          <w:p>
            <w:pPr>
              <w:pStyle w:val="Normal"/>
            </w:pPr>
            <w:r>
              <w:t>e B10BD C10BD D10BD J10BD 54 (3,2%)</w:t>
            </w:r>
          </w:p>
        </w:tc>
        <w:tc>
          <w:p>
            <w:pPr>
              <w:pStyle w:val="Normal"/>
            </w:pPr>
            <w:r>
              <w:t>B10BD C10BD D10BD J10BD M10BD 62 (3,8%)</w:t>
            </w:r>
          </w:p>
        </w:tc>
        <w:tc>
          <w:p>
            <w:pPr>
              <w:pStyle w:val="Normal"/>
            </w:pPr>
            <w:r>
              <w:t>B10BD C10BD D10BD J10BD M10BD 65 (3,8%)</w:t>
            </w:r>
          </w:p>
        </w:tc>
      </w:tr>
      <w:tr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e B10BD C10BD J10BD M10BD 175 (3,5%)</w:t>
            </w:r>
          </w:p>
        </w:tc>
        <w:tc>
          <w:p>
            <w:pPr>
              <w:pStyle w:val="Normal"/>
            </w:pPr>
            <w:r>
              <w:t>e B10BD C10BD J10BD M10BD 52 (3,1%)</w:t>
            </w:r>
          </w:p>
        </w:tc>
        <w:tc>
          <w:p>
            <w:pPr>
              <w:pStyle w:val="Normal"/>
            </w:pPr>
            <w:r>
              <w:t>e B10BD C10BD D10BD J10BD 57 (3,5%)</w:t>
            </w:r>
          </w:p>
        </w:tc>
        <w:tc>
          <w:p>
            <w:pPr>
              <w:pStyle w:val="Normal"/>
            </w:pPr>
            <w:r>
              <w:t>e B10BD C10BD D10BD J10BD 62 (3,7%)</w:t>
            </w:r>
          </w:p>
        </w:tc>
      </w:tr>
      <w:tr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e B10BD C10BD D10BD J10BD 173 (3,5%)</w:t>
            </w:r>
          </w:p>
        </w:tc>
        <w:tc>
          <w:p>
            <w:pPr>
              <w:pStyle w:val="Normal"/>
            </w:pPr>
            <w:r>
              <w:t>B10BD C10BD D10BD J10BD M10BD 51 (3,0%)</w:t>
            </w:r>
          </w:p>
        </w:tc>
        <w:tc>
          <w:p>
            <w:pPr>
              <w:pStyle w:val="Normal"/>
            </w:pPr>
            <w:r>
              <w:t>e C10BD D10BD J10BD M10BD 55 (3,4%)</w:t>
            </w:r>
          </w:p>
        </w:tc>
        <w:tc>
          <w:p>
            <w:pPr>
              <w:pStyle w:val="Normal"/>
            </w:pPr>
            <w:r>
              <w:t>e B10BD D10BD J10BD M10BD 59 (3,5%)</w:t>
            </w:r>
          </w:p>
        </w:tc>
      </w:tr>
      <w:tr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e B10BD D10BD J10BD M10BD 162 (3,2%)</w:t>
            </w:r>
          </w:p>
        </w:tc>
        <w:tc>
          <w:p>
            <w:pPr>
              <w:pStyle w:val="Normal"/>
            </w:pPr>
            <w:r>
              <w:t>e B10BD D10BD J10BD M10BD 50 (3,0%)</w:t>
            </w:r>
          </w:p>
        </w:tc>
        <w:tc>
          <w:p>
            <w:pPr>
              <w:pStyle w:val="Normal"/>
            </w:pPr>
            <w:r>
              <w:t>e B10BD D10BD J10BD M10BD 53 (3,3%)</w:t>
            </w:r>
          </w:p>
        </w:tc>
        <w:tc>
          <w:p>
            <w:pPr>
              <w:pStyle w:val="Normal"/>
            </w:pPr>
            <w:r>
              <w:t>e B10BD C10BD D10BD M10BD 58 (3,4%)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2026-10-13T19:31:25Z</dcterms:modified>
  <cp:category/>
</cp:coreProperties>
</file>