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562</w:t>
            </w:r>
          </w:p>
        </w:tc>
        <w:tc>
          <w:p>
            <w:pPr>
              <w:pStyle w:val="Normal"/>
            </w:pPr>
            <w:r>
              <w:t>557</w:t>
            </w:r>
          </w:p>
        </w:tc>
        <w:tc>
          <w:p>
            <w:pPr>
              <w:pStyle w:val="Normal"/>
            </w:pPr>
            <w:r>
              <w:t>550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289 (51,4%)</w:t>
            </w:r>
          </w:p>
        </w:tc>
        <w:tc>
          <w:p>
            <w:pPr>
              <w:pStyle w:val="Normal"/>
            </w:pPr>
            <w:r>
              <w:t>278 (49,9%)</w:t>
            </w:r>
          </w:p>
        </w:tc>
        <w:tc>
          <w:p>
            <w:pPr>
              <w:pStyle w:val="Normal"/>
            </w:pPr>
            <w:r>
              <w:t>292 (53,1%)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50 (8,9%)</w:t>
            </w:r>
          </w:p>
        </w:tc>
        <w:tc>
          <w:p>
            <w:pPr>
              <w:pStyle w:val="Normal"/>
            </w:pPr>
            <w:r>
              <w:t>51 (9,2%)</w:t>
            </w:r>
          </w:p>
        </w:tc>
        <w:tc>
          <w:p>
            <w:pPr>
              <w:pStyle w:val="Normal"/>
            </w:pPr>
            <w:r>
              <w:t>55 (10,0%)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A10BD09</w:t>
            </w:r>
          </w:p>
        </w:tc>
        <w:tc>
          <w:p>
            <w:pPr>
              <w:pStyle w:val="Normal"/>
            </w:pPr>
            <w:r>
              <w:t>183 (32,6%)</w:t>
            </w:r>
          </w:p>
        </w:tc>
        <w:tc>
          <w:p>
            <w:pPr>
              <w:pStyle w:val="Normal"/>
            </w:pPr>
            <w:r>
              <w:t>178 (32,0%)</w:t>
            </w:r>
          </w:p>
        </w:tc>
        <w:tc>
          <w:p>
            <w:pPr>
              <w:pStyle w:val="Normal"/>
            </w:pPr>
            <w:r>
              <w:t>169 (30,7%)</w:t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198 (35,2%)</w:t>
            </w:r>
          </w:p>
        </w:tc>
        <w:tc>
          <w:p>
            <w:pPr>
              <w:pStyle w:val="Normal"/>
            </w:pPr>
            <w:r>
              <w:t>161 (28,9%)</w:t>
            </w:r>
          </w:p>
        </w:tc>
        <w:tc>
          <w:p>
            <w:pPr>
              <w:pStyle w:val="Normal"/>
            </w:pPr>
            <w:r>
              <w:t>158 (28,7%)</w:t>
            </w:r>
          </w:p>
        </w:tc>
      </w:tr>
      <w:tr>
        <w:tc>
          <w:p>
            <w:pPr>
              <w:pStyle w:val="Normal"/>
            </w:pPr>
            <w:r>
              <w:t>A10BD24</w:t>
            </w:r>
          </w:p>
        </w:tc>
        <w:tc>
          <w:p>
            <w:pPr>
              <w:pStyle w:val="Normal"/>
            </w:pPr>
            <w:r>
              <w:t>178 (31,7%)</w:t>
            </w:r>
          </w:p>
        </w:tc>
        <w:tc>
          <w:p>
            <w:pPr>
              <w:pStyle w:val="Normal"/>
            </w:pPr>
            <w:r>
              <w:t>176 (31,6%)</w:t>
            </w:r>
          </w:p>
        </w:tc>
        <w:tc>
          <w:p>
            <w:pPr>
              <w:pStyle w:val="Normal"/>
            </w:pPr>
            <w:r>
              <w:t>160 (29,1%)</w:t>
            </w:r>
          </w:p>
        </w:tc>
      </w:tr>
      <w:tr>
        <w:tc>
          <w:p>
            <w:pPr>
              <w:pStyle w:val="Normal"/>
            </w:pPr>
            <w:r>
              <w:t>A10BJ</w:t>
            </w:r>
          </w:p>
        </w:tc>
        <w:tc>
          <w:p>
            <w:pPr>
              <w:pStyle w:val="Normal"/>
            </w:pPr>
            <w:r>
              <w:t>170 (30,2%)</w:t>
            </w:r>
          </w:p>
        </w:tc>
        <w:tc>
          <w:p>
            <w:pPr>
              <w:pStyle w:val="Normal"/>
            </w:pPr>
            <w:r>
              <w:t>170 (30,5%)</w:t>
            </w:r>
          </w:p>
        </w:tc>
        <w:tc>
          <w:p>
            <w:pPr>
              <w:pStyle w:val="Normal"/>
            </w:pPr>
            <w:r>
              <w:t>157 (28,5%)</w:t>
            </w:r>
          </w:p>
        </w:tc>
      </w:tr>
      <w:tr>
        <w:tc>
          <w:p>
            <w:pPr>
              <w:pStyle w:val="Normal"/>
            </w:pPr>
            <w:r>
              <w:t>A10BH</w:t>
            </w:r>
          </w:p>
        </w:tc>
        <w:tc>
          <w:p>
            <w:pPr>
              <w:pStyle w:val="Normal"/>
            </w:pPr>
            <w:r>
              <w:t>169 (30,1%)</w:t>
            </w:r>
          </w:p>
        </w:tc>
        <w:tc>
          <w:p>
            <w:pPr>
              <w:pStyle w:val="Normal"/>
            </w:pPr>
            <w:r>
              <w:t>173 (31,1%)</w:t>
            </w:r>
          </w:p>
        </w:tc>
        <w:tc>
          <w:p>
            <w:pPr>
              <w:pStyle w:val="Normal"/>
            </w:pPr>
            <w:r>
              <w:t>154 (28,0%)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258 (45,9%)</w:t>
            </w:r>
          </w:p>
        </w:tc>
        <w:tc>
          <w:p>
            <w:pPr>
              <w:pStyle w:val="Normal"/>
            </w:pPr>
            <w:r>
              <w:t>254 (45,6%)</w:t>
            </w:r>
          </w:p>
        </w:tc>
        <w:tc>
          <w:p>
            <w:pPr>
              <w:pStyle w:val="Normal"/>
            </w:pPr>
            <w:r>
              <w:t>283 (51,5%)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400 (71,2%)</w:t>
            </w:r>
          </w:p>
        </w:tc>
        <w:tc>
          <w:p>
            <w:pPr>
              <w:pStyle w:val="Normal"/>
            </w:pPr>
            <w:r>
              <w:t>376 (67,5%)</w:t>
            </w:r>
          </w:p>
        </w:tc>
        <w:tc>
          <w:p>
            <w:pPr>
              <w:pStyle w:val="Normal"/>
            </w:pPr>
            <w:r>
              <w:t>381 (69,3%)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394 (70,1%)</w:t>
            </w:r>
          </w:p>
        </w:tc>
        <w:tc>
          <w:p>
            <w:pPr>
              <w:pStyle w:val="Normal"/>
            </w:pPr>
            <w:r>
              <w:t>358 (64,3%)</w:t>
            </w:r>
          </w:p>
        </w:tc>
        <w:tc>
          <w:p>
            <w:pPr>
              <w:pStyle w:val="Normal"/>
            </w:pPr>
            <w:r>
              <w:t>361 (65,6%)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132 (23,5%)</w:t>
            </w:r>
          </w:p>
        </w:tc>
        <w:tc>
          <w:p>
            <w:pPr>
              <w:pStyle w:val="Normal"/>
            </w:pPr>
            <w:r>
              <w:t>119 (21,4%)</w:t>
            </w:r>
          </w:p>
        </w:tc>
        <w:tc>
          <w:p>
            <w:pPr>
              <w:pStyle w:val="Normal"/>
            </w:pPr>
            <w:r>
              <w:t>125 (22,7%)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321 (57,1%)</w:t>
            </w:r>
          </w:p>
        </w:tc>
        <w:tc>
          <w:p>
            <w:pPr>
              <w:pStyle w:val="Normal"/>
            </w:pPr>
            <w:r>
              <w:t>308 (55,3%)</w:t>
            </w:r>
          </w:p>
        </w:tc>
        <w:tc>
          <w:p>
            <w:pPr>
              <w:pStyle w:val="Normal"/>
            </w:pPr>
            <w:r>
              <w:t>321 (58,4%)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2026-09-18T20:30:37Z</dcterms:modified>
  <cp:category/>
</cp:coreProperties>
</file>