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</w:tr>
      <w:tr>
        <w:tc>
          <w:p>
            <w:pPr>
              <w:pStyle w:val="Normal"/>
            </w:pPr>
            <w:r>
              <w:t>Totale</w:t>
            </w:r>
          </w:p>
        </w:tc>
        <w:tc>
          <w:p>
            <w:pPr>
              <w:pStyle w:val="Normal"/>
            </w:pPr>
            <w:r>
              <w:t>557</w:t>
            </w:r>
          </w:p>
        </w:tc>
        <w:tc>
          <w:p>
            <w:pPr>
              <w:pStyle w:val="Normal"/>
            </w:pPr>
            <w:r>
              <w:t>568</w:t>
            </w:r>
          </w:p>
        </w:tc>
        <w:tc>
          <w:p>
            <w:pPr>
              <w:pStyle w:val="Normal"/>
            </w:pPr>
            <w:r>
              <w:t>540</w:t>
            </w:r>
          </w:p>
        </w:tc>
      </w:tr>
      <w:tr>
        <w:tc>
          <w:p>
            <w:pPr>
              <w:pStyle w:val="Normal"/>
            </w:pPr>
            <w:r>
              <w:t>Donne, n (%)</w:t>
            </w:r>
          </w:p>
        </w:tc>
        <w:tc>
          <w:p>
            <w:pPr>
              <w:pStyle w:val="Normal"/>
            </w:pPr>
            <w:r>
              <w:t>265 (47,6%)</w:t>
            </w:r>
          </w:p>
        </w:tc>
        <w:tc>
          <w:p>
            <w:pPr>
              <w:pStyle w:val="Normal"/>
            </w:pPr>
            <w:r>
              <w:t>291 (51,2%)</w:t>
            </w:r>
          </w:p>
        </w:tc>
        <w:tc>
          <w:p>
            <w:pPr>
              <w:pStyle w:val="Normal"/>
            </w:pPr>
            <w:r>
              <w:t>269 (49,8%)</w:t>
            </w:r>
          </w:p>
        </w:tc>
      </w:tr>
      <w:tr>
        <w:tc>
          <w:p>
            <w:pPr>
              <w:pStyle w:val="Normal"/>
            </w:pPr>
            <w:r>
              <w:t>Pazienti in iper-politerapia (≥10 farmaci ATC IV nello stesso mese per 3 mesi su 12)</w:t>
            </w:r>
          </w:p>
        </w:tc>
        <w:tc>
          <w:p>
            <w:pPr>
              <w:pStyle w:val="Normal"/>
            </w:pPr>
            <w:r>
              <w:t>44 (7,9%)</w:t>
            </w:r>
          </w:p>
        </w:tc>
        <w:tc>
          <w:p>
            <w:pPr>
              <w:pStyle w:val="Normal"/>
            </w:pPr>
            <w:r>
              <w:t>48 (8,5%)</w:t>
            </w:r>
          </w:p>
        </w:tc>
        <w:tc>
          <w:p>
            <w:pPr>
              <w:pStyle w:val="Normal"/>
            </w:pPr>
            <w:r>
              <w:t>44 (8,1%)</w:t>
            </w:r>
          </w:p>
        </w:tc>
      </w:tr>
      <w:tr>
        <w:tc>
          <w:p>
            <w:pPr>
              <w:pStyle w:val="Normal"/>
            </w:pPr>
            <w:r>
              <w:t>Principi attivi più utilizzati (ATC V livello dispensati ≥ 3 volte in un anno)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A10BD20</w:t>
            </w:r>
          </w:p>
        </w:tc>
        <w:tc>
          <w:p>
            <w:pPr>
              <w:pStyle w:val="Normal"/>
            </w:pPr>
            <w:r>
              <w:t>163 (29,3%)</w:t>
            </w:r>
          </w:p>
        </w:tc>
        <w:tc>
          <w:p>
            <w:pPr>
              <w:pStyle w:val="Normal"/>
            </w:pPr>
            <w:r>
              <w:t>192 (33,8%)</w:t>
            </w:r>
          </w:p>
        </w:tc>
        <w:tc>
          <w:p>
            <w:pPr>
              <w:pStyle w:val="Normal"/>
            </w:pPr>
            <w:r>
              <w:t>172 (31,9%)</w:t>
            </w:r>
          </w:p>
        </w:tc>
      </w:tr>
      <w:tr>
        <w:tc>
          <w:p>
            <w:pPr>
              <w:pStyle w:val="Normal"/>
            </w:pPr>
            <w:r>
              <w:t>A10BD24</w:t>
            </w:r>
          </w:p>
        </w:tc>
        <w:tc>
          <w:p>
            <w:pPr>
              <w:pStyle w:val="Normal"/>
            </w:pPr>
            <w:r>
              <w:t>171 (30,7%)</w:t>
            </w:r>
          </w:p>
        </w:tc>
        <w:tc>
          <w:p>
            <w:pPr>
              <w:pStyle w:val="Normal"/>
            </w:pPr>
            <w:r>
              <w:t>176 (31,0%)</w:t>
            </w:r>
          </w:p>
        </w:tc>
        <w:tc>
          <w:p>
            <w:pPr>
              <w:pStyle w:val="Normal"/>
            </w:pPr>
            <w:r>
              <w:t>177 (32,8%)</w:t>
            </w:r>
          </w:p>
        </w:tc>
      </w:tr>
      <w:tr>
        <w:tc>
          <w:p>
            <w:pPr>
              <w:pStyle w:val="Normal"/>
            </w:pPr>
            <w:r>
              <w:t>A10BK</w:t>
            </w:r>
          </w:p>
        </w:tc>
        <w:tc>
          <w:p>
            <w:pPr>
              <w:pStyle w:val="Normal"/>
            </w:pPr>
            <w:r>
              <w:t>188 (33,8%)</w:t>
            </w:r>
          </w:p>
        </w:tc>
        <w:tc>
          <w:p>
            <w:pPr>
              <w:pStyle w:val="Normal"/>
            </w:pPr>
            <w:r>
              <w:t>167 (29,4%)</w:t>
            </w:r>
          </w:p>
        </w:tc>
        <w:tc>
          <w:p>
            <w:pPr>
              <w:pStyle w:val="Normal"/>
            </w:pPr>
            <w:r>
              <w:t>158 (29,3%)</w:t>
            </w:r>
          </w:p>
        </w:tc>
      </w:tr>
      <w:tr>
        <w:tc>
          <w:p>
            <w:pPr>
              <w:pStyle w:val="Normal"/>
            </w:pPr>
            <w:r>
              <w:t>A10BD10</w:t>
            </w:r>
          </w:p>
        </w:tc>
        <w:tc>
          <w:p>
            <w:pPr>
              <w:pStyle w:val="Normal"/>
            </w:pPr>
            <w:r>
              <w:t>160 (28,7%)</w:t>
            </w:r>
          </w:p>
        </w:tc>
        <w:tc>
          <w:p>
            <w:pPr>
              <w:pStyle w:val="Normal"/>
            </w:pPr>
            <w:r>
              <w:t>189 (33,3%)</w:t>
            </w:r>
          </w:p>
        </w:tc>
        <w:tc>
          <w:p>
            <w:pPr>
              <w:pStyle w:val="Normal"/>
            </w:pPr>
            <w:r>
              <w:t>163 (30,2%)</w:t>
            </w:r>
          </w:p>
        </w:tc>
      </w:tr>
      <w:tr>
        <w:tc>
          <w:p>
            <w:pPr>
              <w:pStyle w:val="Normal"/>
            </w:pPr>
            <w:r>
              <w:t>A10BD07</w:t>
            </w:r>
          </w:p>
        </w:tc>
        <w:tc>
          <w:p>
            <w:pPr>
              <w:pStyle w:val="Normal"/>
            </w:pPr>
            <w:r>
              <w:t>169 (30,3%)</w:t>
            </w:r>
          </w:p>
        </w:tc>
        <w:tc>
          <w:p>
            <w:pPr>
              <w:pStyle w:val="Normal"/>
            </w:pPr>
            <w:r>
              <w:t>176 (31,0%)</w:t>
            </w:r>
          </w:p>
        </w:tc>
        <w:tc>
          <w:p>
            <w:pPr>
              <w:pStyle w:val="Normal"/>
            </w:pPr>
            <w:r>
              <w:t>166 (30,7%)</w:t>
            </w:r>
          </w:p>
        </w:tc>
      </w:tr>
      <w:tr>
        <w:tc>
          <w:p>
            <w:pPr>
              <w:pStyle w:val="Normal"/>
            </w:pPr>
            <w:r>
              <w:t>Contesto assistenziale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RSA e/o ADI (≥1 giorno durate l’anno)</w:t>
            </w:r>
          </w:p>
        </w:tc>
        <w:tc>
          <w:p>
            <w:pPr>
              <w:pStyle w:val="Normal"/>
            </w:pPr>
            <w:r>
              <w:t>280 (50,3%)</w:t>
            </w:r>
          </w:p>
        </w:tc>
        <w:tc>
          <w:p>
            <w:pPr>
              <w:pStyle w:val="Normal"/>
            </w:pPr>
            <w:r>
              <w:t>250 (44,0%)</w:t>
            </w:r>
          </w:p>
        </w:tc>
        <w:tc>
          <w:p>
            <w:pPr>
              <w:pStyle w:val="Normal"/>
            </w:pPr>
            <w:r>
              <w:t>248 (45,9%)</w:t>
            </w:r>
          </w:p>
        </w:tc>
      </w:tr>
      <w:tr>
        <w:tc>
          <w:p>
            <w:pPr>
              <w:pStyle w:val="Normal"/>
            </w:pPr>
            <w:r>
              <w:t>Esenzione per patologia cronica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Cardiocircolatoria</w:t>
            </w:r>
          </w:p>
        </w:tc>
        <w:tc>
          <w:p>
            <w:pPr>
              <w:pStyle w:val="Normal"/>
            </w:pPr>
            <w:r>
              <w:t>382 (68,6%)</w:t>
            </w:r>
          </w:p>
        </w:tc>
        <w:tc>
          <w:p>
            <w:pPr>
              <w:pStyle w:val="Normal"/>
            </w:pPr>
            <w:r>
              <w:t>393 (69,2%)</w:t>
            </w:r>
          </w:p>
        </w:tc>
        <w:tc>
          <w:p>
            <w:pPr>
              <w:pStyle w:val="Normal"/>
            </w:pPr>
            <w:r>
              <w:t>384 (71,1%)</w:t>
            </w:r>
          </w:p>
        </w:tc>
      </w:tr>
      <w:tr>
        <w:tc>
          <w:p>
            <w:pPr>
              <w:pStyle w:val="Normal"/>
            </w:pPr>
            <w:r>
              <w:t>Reumatologica</w:t>
            </w:r>
          </w:p>
        </w:tc>
        <w:tc>
          <w:p>
            <w:pPr>
              <w:pStyle w:val="Normal"/>
            </w:pPr>
            <w:r>
              <w:t>376 (67,5%)</w:t>
            </w:r>
          </w:p>
        </w:tc>
        <w:tc>
          <w:p>
            <w:pPr>
              <w:pStyle w:val="Normal"/>
            </w:pPr>
            <w:r>
              <w:t>401 (70,6%)</w:t>
            </w:r>
          </w:p>
        </w:tc>
        <w:tc>
          <w:p>
            <w:pPr>
              <w:pStyle w:val="Normal"/>
            </w:pPr>
            <w:r>
              <w:t>354 (65,6%)</w:t>
            </w:r>
          </w:p>
        </w:tc>
      </w:tr>
      <w:tr>
        <w:tc>
          <w:p>
            <w:pPr>
              <w:pStyle w:val="Normal"/>
            </w:pPr>
            <w:r>
              <w:t>Gastroenterologica</w:t>
            </w:r>
          </w:p>
        </w:tc>
        <w:tc>
          <w:p>
            <w:pPr>
              <w:pStyle w:val="Normal"/>
            </w:pPr>
            <w:r>
              <w:t>145 (26,0%)</w:t>
            </w:r>
          </w:p>
        </w:tc>
        <w:tc>
          <w:p>
            <w:pPr>
              <w:pStyle w:val="Normal"/>
            </w:pPr>
            <w:r>
              <w:t>140 (24,6%)</w:t>
            </w:r>
          </w:p>
        </w:tc>
        <w:tc>
          <w:p>
            <w:pPr>
              <w:pStyle w:val="Normal"/>
            </w:pPr>
            <w:r>
              <w:t>121 (22,4%)</w:t>
            </w:r>
          </w:p>
        </w:tc>
      </w:tr>
      <w:tr>
        <w:tc>
          <w:p>
            <w:pPr>
              <w:pStyle w:val="Normal"/>
            </w:pPr>
            <w:r>
              <w:t>≥1 esenzione per qualsiasi malattia cronica</w:t>
            </w:r>
          </w:p>
        </w:tc>
        <w:tc>
          <w:p>
            <w:pPr>
              <w:pStyle w:val="Normal"/>
            </w:pPr>
            <w:r>
              <w:t>331 (59,4%)</w:t>
            </w:r>
          </w:p>
        </w:tc>
        <w:tc>
          <w:p>
            <w:pPr>
              <w:pStyle w:val="Normal"/>
            </w:pPr>
            <w:r>
              <w:t>310 (54,6%)</w:t>
            </w:r>
          </w:p>
        </w:tc>
        <w:tc>
          <w:p>
            <w:pPr>
              <w:pStyle w:val="Normal"/>
            </w:pPr>
            <w:r>
              <w:t>329 (60,9%)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2026-09-18T20:30:38Z</dcterms:modified>
  <cp:category/>
</cp:coreProperties>
</file>