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574</w:t>
            </w:r>
          </w:p>
        </w:tc>
        <w:tc>
          <w:p>
            <w:pPr>
              <w:pStyle w:val="Normal"/>
            </w:pPr>
            <w:r>
              <w:t>543</w:t>
            </w:r>
          </w:p>
        </w:tc>
        <w:tc>
          <w:p>
            <w:pPr>
              <w:pStyle w:val="Normal"/>
            </w:pPr>
            <w:r>
              <w:t>549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289 (50,3%)</w:t>
            </w:r>
          </w:p>
        </w:tc>
        <w:tc>
          <w:p>
            <w:pPr>
              <w:pStyle w:val="Normal"/>
            </w:pPr>
            <w:r>
              <w:t>264 (48,6%)</w:t>
            </w:r>
          </w:p>
        </w:tc>
        <w:tc>
          <w:p>
            <w:pPr>
              <w:pStyle w:val="Normal"/>
            </w:pPr>
            <w:r>
              <w:t>256 (46,6%)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51 (8,9%)</w:t>
            </w:r>
          </w:p>
        </w:tc>
        <w:tc>
          <w:p>
            <w:pPr>
              <w:pStyle w:val="Normal"/>
            </w:pPr>
            <w:r>
              <w:t>50 (9,2%)</w:t>
            </w:r>
          </w:p>
        </w:tc>
        <w:tc>
          <w:p>
            <w:pPr>
              <w:pStyle w:val="Normal"/>
            </w:pPr>
            <w:r>
              <w:t>57 (10,4%)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A10BK</w:t>
            </w:r>
          </w:p>
        </w:tc>
        <w:tc>
          <w:p>
            <w:pPr>
              <w:pStyle w:val="Normal"/>
            </w:pPr>
            <w:r>
              <w:t>153 (26,7%)</w:t>
            </w:r>
          </w:p>
        </w:tc>
        <w:tc>
          <w:p>
            <w:pPr>
              <w:pStyle w:val="Normal"/>
            </w:pPr>
            <w:r>
              <w:t>181 (33,3%)</w:t>
            </w:r>
          </w:p>
        </w:tc>
        <w:tc>
          <w:p>
            <w:pPr>
              <w:pStyle w:val="Normal"/>
            </w:pPr>
            <w:r>
              <w:t>190 (34,6%)</w:t>
            </w:r>
          </w:p>
        </w:tc>
      </w:tr>
      <w:tr>
        <w:tc>
          <w:p>
            <w:pPr>
              <w:pStyle w:val="Normal"/>
            </w:pPr>
            <w:r>
              <w:t>A10BD13</w:t>
            </w:r>
          </w:p>
        </w:tc>
        <w:tc>
          <w:p>
            <w:pPr>
              <w:pStyle w:val="Normal"/>
            </w:pPr>
            <w:r>
              <w:t>172 (30,0%)</w:t>
            </w:r>
          </w:p>
        </w:tc>
        <w:tc>
          <w:p>
            <w:pPr>
              <w:pStyle w:val="Normal"/>
            </w:pPr>
            <w:r>
              <w:t>189 (34,8%)</w:t>
            </w:r>
          </w:p>
        </w:tc>
        <w:tc>
          <w:p>
            <w:pPr>
              <w:pStyle w:val="Normal"/>
            </w:pPr>
            <w:r>
              <w:t>160 (29,1%)</w:t>
            </w:r>
          </w:p>
        </w:tc>
      </w:tr>
      <w:tr>
        <w:tc>
          <w:p>
            <w:pPr>
              <w:pStyle w:val="Normal"/>
            </w:pPr>
            <w:r>
              <w:t>A10BJ</w:t>
            </w:r>
          </w:p>
        </w:tc>
        <w:tc>
          <w:p>
            <w:pPr>
              <w:pStyle w:val="Normal"/>
            </w:pPr>
            <w:r>
              <w:t>183 (31,9%)</w:t>
            </w:r>
          </w:p>
        </w:tc>
        <w:tc>
          <w:p>
            <w:pPr>
              <w:pStyle w:val="Normal"/>
            </w:pPr>
            <w:r>
              <w:t>152 (28,0%)</w:t>
            </w:r>
          </w:p>
        </w:tc>
        <w:tc>
          <w:p>
            <w:pPr>
              <w:pStyle w:val="Normal"/>
            </w:pPr>
            <w:r>
              <w:t>164 (29,9%)</w:t>
            </w:r>
          </w:p>
        </w:tc>
      </w:tr>
      <w:tr>
        <w:tc>
          <w:p>
            <w:pPr>
              <w:pStyle w:val="Normal"/>
            </w:pPr>
            <w:r>
              <w:t>A10BD09</w:t>
            </w:r>
          </w:p>
        </w:tc>
        <w:tc>
          <w:p>
            <w:pPr>
              <w:pStyle w:val="Normal"/>
            </w:pPr>
            <w:r>
              <w:t>162 (28,2%)</w:t>
            </w:r>
          </w:p>
        </w:tc>
        <w:tc>
          <w:p>
            <w:pPr>
              <w:pStyle w:val="Normal"/>
            </w:pPr>
            <w:r>
              <w:t>164 (30,2%)</w:t>
            </w:r>
          </w:p>
        </w:tc>
        <w:tc>
          <w:p>
            <w:pPr>
              <w:pStyle w:val="Normal"/>
            </w:pPr>
            <w:r>
              <w:t>173 (31,5%)</w:t>
            </w:r>
          </w:p>
        </w:tc>
      </w:tr>
      <w:tr>
        <w:tc>
          <w:p>
            <w:pPr>
              <w:pStyle w:val="Normal"/>
            </w:pPr>
            <w:r>
              <w:t>A10AE54</w:t>
            </w:r>
          </w:p>
        </w:tc>
        <w:tc>
          <w:p>
            <w:pPr>
              <w:pStyle w:val="Normal"/>
            </w:pPr>
            <w:r>
              <w:t>159 (27,7%)</w:t>
            </w:r>
          </w:p>
        </w:tc>
        <w:tc>
          <w:p>
            <w:pPr>
              <w:pStyle w:val="Normal"/>
            </w:pPr>
            <w:r>
              <w:t>157 (28,9%)</w:t>
            </w:r>
          </w:p>
        </w:tc>
        <w:tc>
          <w:p>
            <w:pPr>
              <w:pStyle w:val="Normal"/>
            </w:pPr>
            <w:r>
              <w:t>179 (32,6%)</w:t>
            </w:r>
          </w:p>
        </w:tc>
      </w:tr>
      <w:tr>
        <w:tc>
          <w:p>
            <w:pPr>
              <w:pStyle w:val="Normal"/>
            </w:pPr>
            <w:r>
              <w:t>Contesto assistenziale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RSA e/o ADI (≥1 giorno durate l’anno)</w:t>
            </w:r>
          </w:p>
        </w:tc>
        <w:tc>
          <w:p>
            <w:pPr>
              <w:pStyle w:val="Normal"/>
            </w:pPr>
            <w:r>
              <w:t>265 (46,2%)</w:t>
            </w:r>
          </w:p>
        </w:tc>
        <w:tc>
          <w:p>
            <w:pPr>
              <w:pStyle w:val="Normal"/>
            </w:pPr>
            <w:r>
              <w:t>257 (47,3%)</w:t>
            </w:r>
          </w:p>
        </w:tc>
        <w:tc>
          <w:p>
            <w:pPr>
              <w:pStyle w:val="Normal"/>
            </w:pPr>
            <w:r>
              <w:t>268 (48,8%)</w:t>
            </w:r>
          </w:p>
        </w:tc>
      </w:tr>
      <w:tr>
        <w:tc>
          <w:p>
            <w:pPr>
              <w:pStyle w:val="Normal"/>
            </w:pPr>
            <w:r>
              <w:t>Esenzione per patologia cronica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Cardiocircolatoria</w:t>
            </w:r>
          </w:p>
        </w:tc>
        <w:tc>
          <w:p>
            <w:pPr>
              <w:pStyle w:val="Normal"/>
            </w:pPr>
            <w:r>
              <w:t>403 (70,2%)</w:t>
            </w:r>
          </w:p>
        </w:tc>
        <w:tc>
          <w:p>
            <w:pPr>
              <w:pStyle w:val="Normal"/>
            </w:pPr>
            <w:r>
              <w:t>395 (72,7%)</w:t>
            </w:r>
          </w:p>
        </w:tc>
        <w:tc>
          <w:p>
            <w:pPr>
              <w:pStyle w:val="Normal"/>
            </w:pPr>
            <w:r>
              <w:t>400 (72,9%)</w:t>
            </w:r>
          </w:p>
        </w:tc>
      </w:tr>
      <w:tr>
        <w:tc>
          <w:p>
            <w:pPr>
              <w:pStyle w:val="Normal"/>
            </w:pPr>
            <w:r>
              <w:t>Reumatologica</w:t>
            </w:r>
          </w:p>
        </w:tc>
        <w:tc>
          <w:p>
            <w:pPr>
              <w:pStyle w:val="Normal"/>
            </w:pPr>
            <w:r>
              <w:t>382 (66,6%)</w:t>
            </w:r>
          </w:p>
        </w:tc>
        <w:tc>
          <w:p>
            <w:pPr>
              <w:pStyle w:val="Normal"/>
            </w:pPr>
            <w:r>
              <w:t>377 (69,4%)</w:t>
            </w:r>
          </w:p>
        </w:tc>
        <w:tc>
          <w:p>
            <w:pPr>
              <w:pStyle w:val="Normal"/>
            </w:pPr>
            <w:r>
              <w:t>374 (68,1%)</w:t>
            </w:r>
          </w:p>
        </w:tc>
      </w:tr>
      <w:tr>
        <w:tc>
          <w:p>
            <w:pPr>
              <w:pStyle w:val="Normal"/>
            </w:pPr>
            <w:r>
              <w:t>Gastroenterologica</w:t>
            </w:r>
          </w:p>
        </w:tc>
        <w:tc>
          <w:p>
            <w:pPr>
              <w:pStyle w:val="Normal"/>
            </w:pPr>
            <w:r>
              <w:t>131 (22,8%)</w:t>
            </w:r>
          </w:p>
        </w:tc>
        <w:tc>
          <w:p>
            <w:pPr>
              <w:pStyle w:val="Normal"/>
            </w:pPr>
            <w:r>
              <w:t>128 (23,6%)</w:t>
            </w:r>
          </w:p>
        </w:tc>
        <w:tc>
          <w:p>
            <w:pPr>
              <w:pStyle w:val="Normal"/>
            </w:pPr>
            <w:r>
              <w:t>136 (24,8%)</w:t>
            </w:r>
          </w:p>
        </w:tc>
      </w:tr>
      <w:tr>
        <w:tc>
          <w:p>
            <w:pPr>
              <w:pStyle w:val="Normal"/>
            </w:pPr>
            <w:r>
              <w:t>≥1 esenzione per qualsiasi malattia cronica</w:t>
            </w:r>
          </w:p>
        </w:tc>
        <w:tc>
          <w:p>
            <w:pPr>
              <w:pStyle w:val="Normal"/>
            </w:pPr>
            <w:r>
              <w:t>333 (58,0%)</w:t>
            </w:r>
          </w:p>
        </w:tc>
        <w:tc>
          <w:p>
            <w:pPr>
              <w:pStyle w:val="Normal"/>
            </w:pPr>
            <w:r>
              <w:t>315 (58,0%)</w:t>
            </w:r>
          </w:p>
        </w:tc>
        <w:tc>
          <w:p>
            <w:pPr>
              <w:pStyle w:val="Normal"/>
            </w:pPr>
            <w:r>
              <w:t>309 (56,3%)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2026-09-18T20:30:40Z</dcterms:modified>
  <cp:category/>
</cp:coreProperties>
</file>