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1690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A10BD</w:t>
            </w:r>
          </w:p>
        </w:tc>
        <w:tc>
          <w:p>
            <w:pPr>
              <w:pStyle w:val="Normal"/>
            </w:pPr>
            <w:r>
              <w:t>1.682 (99,5%)</w:t>
            </w:r>
          </w:p>
        </w:tc>
      </w:tr>
      <w:tr>
        <w:tc>
          <w:p>
            <w:pPr>
              <w:pStyle w:val="Normal"/>
            </w:pPr>
            <w:r>
              <w:t>A10AE</w:t>
            </w:r>
          </w:p>
        </w:tc>
        <w:tc>
          <w:p>
            <w:pPr>
              <w:pStyle w:val="Normal"/>
            </w:pPr>
            <w:r>
              <w:t>838 (49,6%)</w:t>
            </w:r>
          </w:p>
        </w:tc>
      </w:tr>
      <w:tr>
        <w:tc>
          <w:p>
            <w:pPr>
              <w:pStyle w:val="Normal"/>
            </w:pPr>
            <w:r>
              <w:t>A10BH</w:t>
            </w:r>
          </w:p>
        </w:tc>
        <w:tc>
          <w:p>
            <w:pPr>
              <w:pStyle w:val="Normal"/>
            </w:pPr>
            <w:r>
              <w:t>510 (30,2%)</w:t>
            </w:r>
          </w:p>
        </w:tc>
      </w:tr>
      <w:tr>
        <w:tc>
          <w:p>
            <w:pPr>
              <w:pStyle w:val="Normal"/>
            </w:pPr>
            <w:r>
              <w:t>A10BJ</w:t>
            </w:r>
          </w:p>
        </w:tc>
        <w:tc>
          <w:p>
            <w:pPr>
              <w:pStyle w:val="Normal"/>
            </w:pPr>
            <w:r>
              <w:t>498 (29,5%)</w:t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477 (28,2%)</w:t>
            </w:r>
          </w:p>
        </w:tc>
      </w:tr>
      <w:tr>
        <w:tc>
          <w:p>
            <w:pPr>
              <w:pStyle w:val="Normal"/>
            </w:pPr>
            <w:r>
              <w:t>A10BX</w:t>
            </w:r>
          </w:p>
        </w:tc>
        <w:tc>
          <w:p>
            <w:pPr>
              <w:pStyle w:val="Normal"/>
            </w:pPr>
            <w:r>
              <w:t>466 (27,6%)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2026-09-18T20:30:45Z</dcterms:modified>
  <cp:category/>
</cp:coreProperties>
</file>