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3136</w:t>
            </w:r>
          </w:p>
        </w:tc>
        <w:tc>
          <w:p>
            <w:pPr>
              <w:pStyle w:val="Normal"/>
            </w:pPr>
            <w:r>
              <w:t>1041</w:t>
            </w:r>
          </w:p>
        </w:tc>
        <w:tc>
          <w:p>
            <w:pPr>
              <w:pStyle w:val="Normal"/>
            </w:pPr>
            <w:r>
              <w:t>1067</w:t>
            </w:r>
          </w:p>
        </w:tc>
        <w:tc>
          <w:p>
            <w:pPr>
              <w:pStyle w:val="Normal"/>
            </w:pPr>
            <w:r>
              <w:t>1028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1.569 (50,0%)</w:t>
            </w:r>
          </w:p>
        </w:tc>
        <w:tc>
          <w:p>
            <w:pPr>
              <w:pStyle w:val="Normal"/>
            </w:pPr>
            <w:r>
              <w:t>505 (48,5%)</w:t>
            </w:r>
          </w:p>
        </w:tc>
        <w:tc>
          <w:p>
            <w:pPr>
              <w:pStyle w:val="Normal"/>
            </w:pPr>
            <w:r>
              <w:t>540 (50,6%)</w:t>
            </w:r>
          </w:p>
        </w:tc>
        <w:tc>
          <w:p>
            <w:pPr>
              <w:pStyle w:val="Normal"/>
            </w:pPr>
            <w:r>
              <w:t>524 (51,0%)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1.063 (33,9%)</w:t>
            </w:r>
          </w:p>
        </w:tc>
        <w:tc>
          <w:p>
            <w:pPr>
              <w:pStyle w:val="Normal"/>
            </w:pPr>
            <w:r>
              <w:t>367 (35,3%)</w:t>
            </w:r>
          </w:p>
        </w:tc>
        <w:tc>
          <w:p>
            <w:pPr>
              <w:pStyle w:val="Normal"/>
            </w:pPr>
            <w:r>
              <w:t>357 (33,5%)</w:t>
            </w:r>
          </w:p>
        </w:tc>
        <w:tc>
          <w:p>
            <w:pPr>
              <w:pStyle w:val="Normal"/>
            </w:pPr>
            <w:r>
              <w:t>339 (33,0%)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1.050 (33,5%)</w:t>
            </w:r>
          </w:p>
        </w:tc>
        <w:tc>
          <w:p>
            <w:pPr>
              <w:pStyle w:val="Normal"/>
            </w:pPr>
            <w:r>
              <w:t>328 (31,5%)</w:t>
            </w:r>
          </w:p>
        </w:tc>
        <w:tc>
          <w:p>
            <w:pPr>
              <w:pStyle w:val="Normal"/>
            </w:pPr>
            <w:r>
              <w:t>371 (34,8%)</w:t>
            </w:r>
          </w:p>
        </w:tc>
        <w:tc>
          <w:p>
            <w:pPr>
              <w:pStyle w:val="Normal"/>
            </w:pPr>
            <w:r>
              <w:t>351 (34,1%)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1.023 (32,6%)</w:t>
            </w:r>
          </w:p>
        </w:tc>
        <w:tc>
          <w:p>
            <w:pPr>
              <w:pStyle w:val="Normal"/>
            </w:pPr>
            <w:r>
              <w:t>346 (33,2%)</w:t>
            </w:r>
          </w:p>
        </w:tc>
        <w:tc>
          <w:p>
            <w:pPr>
              <w:pStyle w:val="Normal"/>
            </w:pPr>
            <w:r>
              <w:t>339 (31,8%)</w:t>
            </w:r>
          </w:p>
        </w:tc>
        <w:tc>
          <w:p>
            <w:pPr>
              <w:pStyle w:val="Normal"/>
            </w:pPr>
            <w:r>
              <w:t>338 (32,9%)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251 (8,0%)</w:t>
            </w:r>
          </w:p>
        </w:tc>
        <w:tc>
          <w:p>
            <w:pPr>
              <w:pStyle w:val="Normal"/>
            </w:pPr>
            <w:r>
              <w:t>84 (8,1%)</w:t>
            </w:r>
          </w:p>
        </w:tc>
        <w:tc>
          <w:p>
            <w:pPr>
              <w:pStyle w:val="Normal"/>
            </w:pPr>
            <w:r>
              <w:t>83 (7,8%)</w:t>
            </w:r>
          </w:p>
        </w:tc>
        <w:tc>
          <w:p>
            <w:pPr>
              <w:pStyle w:val="Normal"/>
            </w:pPr>
            <w:r>
              <w:t>84 (8,2%)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A10BD07 1.144 (36,5%)</w:t>
            </w:r>
          </w:p>
        </w:tc>
        <w:tc>
          <w:p>
            <w:pPr>
              <w:pStyle w:val="Normal"/>
            </w:pPr>
            <w:r>
              <w:t>A10BD07 400 (38,4%)</w:t>
            </w:r>
          </w:p>
        </w:tc>
        <w:tc>
          <w:p>
            <w:pPr>
              <w:pStyle w:val="Normal"/>
            </w:pPr>
            <w:r>
              <w:t>A10AE56 394 (36,9%)</w:t>
            </w:r>
          </w:p>
        </w:tc>
        <w:tc>
          <w:p>
            <w:pPr>
              <w:pStyle w:val="Normal"/>
            </w:pPr>
            <w:r>
              <w:t>A10BD09 393 (38,2%)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A10BH 1.131 (36,1%)</w:t>
            </w:r>
          </w:p>
        </w:tc>
        <w:tc>
          <w:p>
            <w:pPr>
              <w:pStyle w:val="Normal"/>
            </w:pPr>
            <w:r>
              <w:t>A10BH 388 (37,3%)</w:t>
            </w:r>
          </w:p>
        </w:tc>
        <w:tc>
          <w:p>
            <w:pPr>
              <w:pStyle w:val="Normal"/>
            </w:pPr>
            <w:r>
              <w:t>A10BK 390 (36,6%)</w:t>
            </w:r>
          </w:p>
        </w:tc>
        <w:tc>
          <w:p>
            <w:pPr>
              <w:pStyle w:val="Normal"/>
            </w:pPr>
            <w:r>
              <w:t>A10BH 389 (37,8%)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A10BD16 1.101 (35,1%)</w:t>
            </w:r>
          </w:p>
        </w:tc>
        <w:tc>
          <w:p>
            <w:pPr>
              <w:pStyle w:val="Normal"/>
            </w:pPr>
            <w:r>
              <w:t>A10BD08 371 (35,6%)</w:t>
            </w:r>
          </w:p>
        </w:tc>
        <w:tc>
          <w:p>
            <w:pPr>
              <w:pStyle w:val="Normal"/>
            </w:pPr>
            <w:r>
              <w:t>A10BD15 387 (36,3%)</w:t>
            </w:r>
          </w:p>
        </w:tc>
        <w:tc>
          <w:p>
            <w:pPr>
              <w:pStyle w:val="Normal"/>
            </w:pPr>
            <w:r>
              <w:t>A10BD13 373 (36,3%)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A10AE56 1.097 (35,0%)</w:t>
            </w:r>
          </w:p>
        </w:tc>
        <w:tc>
          <w:p>
            <w:pPr>
              <w:pStyle w:val="Normal"/>
            </w:pPr>
            <w:r>
              <w:t>A10BD21 370 (35,5%)</w:t>
            </w:r>
          </w:p>
        </w:tc>
        <w:tc>
          <w:p>
            <w:pPr>
              <w:pStyle w:val="Normal"/>
            </w:pPr>
            <w:r>
              <w:t>A10BD07 385 (36,1%)</w:t>
            </w:r>
          </w:p>
        </w:tc>
        <w:tc>
          <w:p>
            <w:pPr>
              <w:pStyle w:val="Normal"/>
            </w:pPr>
            <w:r>
              <w:t>A10BD16 372 (36,2%)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A10BD09 1.096 (34,9%)</w:t>
            </w:r>
          </w:p>
        </w:tc>
        <w:tc>
          <w:p>
            <w:pPr>
              <w:pStyle w:val="Normal"/>
            </w:pPr>
            <w:r>
              <w:t>A10BD16 370 (35,5%)</w:t>
            </w:r>
          </w:p>
        </w:tc>
        <w:tc>
          <w:p>
            <w:pPr>
              <w:pStyle w:val="Normal"/>
            </w:pPr>
            <w:r>
              <w:t>A10BD11 385 (36,1%)</w:t>
            </w:r>
          </w:p>
        </w:tc>
        <w:tc>
          <w:p>
            <w:pPr>
              <w:pStyle w:val="Normal"/>
            </w:pPr>
            <w:r>
              <w:t>A10BD20 368 (35,8%)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3.116 (99,4%)</w:t>
            </w:r>
          </w:p>
        </w:tc>
        <w:tc>
          <w:p>
            <w:pPr>
              <w:pStyle w:val="Normal"/>
            </w:pPr>
            <w:r>
              <w:t>A10BD 1.032 (99,1%)</w:t>
            </w:r>
          </w:p>
        </w:tc>
        <w:tc>
          <w:p>
            <w:pPr>
              <w:pStyle w:val="Normal"/>
            </w:pPr>
            <w:r>
              <w:t>A10BD 1.064 (99,7%)</w:t>
            </w:r>
          </w:p>
        </w:tc>
        <w:tc>
          <w:p>
            <w:pPr>
              <w:pStyle w:val="Normal"/>
            </w:pPr>
            <w:r>
              <w:t>A10BD 1.020 (99,2%)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1.577 (50,3%)</w:t>
            </w:r>
          </w:p>
        </w:tc>
        <w:tc>
          <w:p>
            <w:pPr>
              <w:pStyle w:val="Normal"/>
            </w:pPr>
            <w:r>
              <w:t>A10AE 529 (50,8%)</w:t>
            </w:r>
          </w:p>
        </w:tc>
        <w:tc>
          <w:p>
            <w:pPr>
              <w:pStyle w:val="Normal"/>
            </w:pPr>
            <w:r>
              <w:t>A10AE 541 (50,7%)</w:t>
            </w:r>
          </w:p>
        </w:tc>
        <w:tc>
          <w:p>
            <w:pPr>
              <w:pStyle w:val="Normal"/>
            </w:pPr>
            <w:r>
              <w:t>A10AE 507 (49,3%)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946 (30,2%)</w:t>
            </w:r>
          </w:p>
        </w:tc>
        <w:tc>
          <w:p>
            <w:pPr>
              <w:pStyle w:val="Normal"/>
            </w:pPr>
            <w:r>
              <w:t>A10BH 325 (31,2%)</w:t>
            </w:r>
          </w:p>
        </w:tc>
        <w:tc>
          <w:p>
            <w:pPr>
              <w:pStyle w:val="Normal"/>
            </w:pPr>
            <w:r>
              <w:t>A10BK 325 (30,5%)</w:t>
            </w:r>
          </w:p>
        </w:tc>
        <w:tc>
          <w:p>
            <w:pPr>
              <w:pStyle w:val="Normal"/>
            </w:pPr>
            <w:r>
              <w:t>A10BH 325 (31,6%)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924 (29,5%)</w:t>
            </w:r>
          </w:p>
        </w:tc>
        <w:tc>
          <w:p>
            <w:pPr>
              <w:pStyle w:val="Normal"/>
            </w:pPr>
            <w:r>
              <w:t>A10BK 299 (28,7%)</w:t>
            </w:r>
          </w:p>
        </w:tc>
        <w:tc>
          <w:p>
            <w:pPr>
              <w:pStyle w:val="Normal"/>
            </w:pPr>
            <w:r>
              <w:t>A10BJ 312 (29,2%)</w:t>
            </w:r>
          </w:p>
        </w:tc>
        <w:tc>
          <w:p>
            <w:pPr>
              <w:pStyle w:val="Normal"/>
            </w:pPr>
            <w:r>
              <w:t>A10BK 300 (29,2%)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A10BX 892 (28,4%)</w:t>
            </w:r>
          </w:p>
        </w:tc>
        <w:tc>
          <w:p>
            <w:pPr>
              <w:pStyle w:val="Normal"/>
            </w:pPr>
            <w:r>
              <w:t>A10BX 294 (28,2%)</w:t>
            </w:r>
          </w:p>
        </w:tc>
        <w:tc>
          <w:p>
            <w:pPr>
              <w:pStyle w:val="Normal"/>
            </w:pPr>
            <w:r>
              <w:t>A10BX 299 (28,0%)</w:t>
            </w:r>
          </w:p>
        </w:tc>
        <w:tc>
          <w:p>
            <w:pPr>
              <w:pStyle w:val="Normal"/>
            </w:pPr>
            <w:r>
              <w:t>A10BX 299 (29,1%)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2026-09-24T11:18:43Z</dcterms:modified>
  <cp:category/>
</cp:coreProperties>
</file>