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2208</w:t>
            </w:r>
          </w:p>
        </w:tc>
        <w:tc>
          <w:p>
            <w:pPr>
              <w:pStyle w:val="Normal"/>
            </w:pPr>
            <w:r>
              <w:t>727</w:t>
            </w:r>
          </w:p>
        </w:tc>
        <w:tc>
          <w:p>
            <w:pPr>
              <w:pStyle w:val="Normal"/>
            </w:pPr>
            <w:r>
              <w:t>764</w:t>
            </w:r>
          </w:p>
        </w:tc>
        <w:tc>
          <w:p>
            <w:pPr>
              <w:pStyle w:val="Normal"/>
            </w:pPr>
            <w:r>
              <w:t>717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1.110 (50,3%)</w:t>
            </w:r>
          </w:p>
        </w:tc>
        <w:tc>
          <w:p>
            <w:pPr>
              <w:pStyle w:val="Normal"/>
            </w:pPr>
            <w:r>
              <w:t>346 (47,6%)</w:t>
            </w:r>
          </w:p>
        </w:tc>
        <w:tc>
          <w:p>
            <w:pPr>
              <w:pStyle w:val="Normal"/>
            </w:pPr>
            <w:r>
              <w:t>386 (50,5%)</w:t>
            </w:r>
          </w:p>
        </w:tc>
        <w:tc>
          <w:p>
            <w:pPr>
              <w:pStyle w:val="Normal"/>
            </w:pPr>
            <w:r>
              <w:t>378 (52,7%)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727 (32,9%)</w:t>
            </w:r>
          </w:p>
        </w:tc>
        <w:tc>
          <w:p>
            <w:pPr>
              <w:pStyle w:val="Normal"/>
            </w:pPr>
            <w:r>
              <w:t>268 (36,9%)</w:t>
            </w:r>
          </w:p>
        </w:tc>
        <w:tc>
          <w:p>
            <w:pPr>
              <w:pStyle w:val="Normal"/>
            </w:pPr>
            <w:r>
              <w:t>233 (30,5%)</w:t>
            </w:r>
          </w:p>
        </w:tc>
        <w:tc>
          <w:p>
            <w:pPr>
              <w:pStyle w:val="Normal"/>
            </w:pPr>
            <w:r>
              <w:t>226 (31,5%)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737 (33,4%)</w:t>
            </w:r>
          </w:p>
        </w:tc>
        <w:tc>
          <w:p>
            <w:pPr>
              <w:pStyle w:val="Normal"/>
            </w:pPr>
            <w:r>
              <w:t>207 (28,5%)</w:t>
            </w:r>
          </w:p>
        </w:tc>
        <w:tc>
          <w:p>
            <w:pPr>
              <w:pStyle w:val="Normal"/>
            </w:pPr>
            <w:r>
              <w:t>281 (36,8%)</w:t>
            </w:r>
          </w:p>
        </w:tc>
        <w:tc>
          <w:p>
            <w:pPr>
              <w:pStyle w:val="Normal"/>
            </w:pPr>
            <w:r>
              <w:t>249 (34,7%)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744 (33,7%)</w:t>
            </w:r>
          </w:p>
        </w:tc>
        <w:tc>
          <w:p>
            <w:pPr>
              <w:pStyle w:val="Normal"/>
            </w:pPr>
            <w:r>
              <w:t>252 (34,7%)</w:t>
            </w:r>
          </w:p>
        </w:tc>
        <w:tc>
          <w:p>
            <w:pPr>
              <w:pStyle w:val="Normal"/>
            </w:pPr>
            <w:r>
              <w:t>250 (32,7%)</w:t>
            </w:r>
          </w:p>
        </w:tc>
        <w:tc>
          <w:p>
            <w:pPr>
              <w:pStyle w:val="Normal"/>
            </w:pPr>
            <w:r>
              <w:t>242 (33,8%)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165 (7,5%)</w:t>
            </w:r>
          </w:p>
        </w:tc>
        <w:tc>
          <w:p>
            <w:pPr>
              <w:pStyle w:val="Normal"/>
            </w:pPr>
            <w:r>
              <w:t>51 (7,0%)</w:t>
            </w:r>
          </w:p>
        </w:tc>
        <w:tc>
          <w:p>
            <w:pPr>
              <w:pStyle w:val="Normal"/>
            </w:pPr>
            <w:r>
              <w:t>55 (7,2%)</w:t>
            </w:r>
          </w:p>
        </w:tc>
        <w:tc>
          <w:p>
            <w:pPr>
              <w:pStyle w:val="Normal"/>
            </w:pPr>
            <w:r>
              <w:t>59 (8,2%)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821 (37,2%)</w:t>
            </w:r>
          </w:p>
        </w:tc>
        <w:tc>
          <w:p>
            <w:pPr>
              <w:pStyle w:val="Normal"/>
            </w:pPr>
            <w:r>
              <w:t>A10BH 296 (40,7%)</w:t>
            </w:r>
          </w:p>
        </w:tc>
        <w:tc>
          <w:p>
            <w:pPr>
              <w:pStyle w:val="Normal"/>
            </w:pPr>
            <w:r>
              <w:t>A10BK 297 (38,9%)</w:t>
            </w:r>
          </w:p>
        </w:tc>
        <w:tc>
          <w:p>
            <w:pPr>
              <w:pStyle w:val="Normal"/>
            </w:pPr>
            <w:r>
              <w:t>A10BJ 275 (38,4%)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A10BD21 804 (36,4%)</w:t>
            </w:r>
          </w:p>
        </w:tc>
        <w:tc>
          <w:p>
            <w:pPr>
              <w:pStyle w:val="Normal"/>
            </w:pPr>
            <w:r>
              <w:t>A10BD21 270 (37,1%)</w:t>
            </w:r>
          </w:p>
        </w:tc>
        <w:tc>
          <w:p>
            <w:pPr>
              <w:pStyle w:val="Normal"/>
            </w:pPr>
            <w:r>
              <w:t>A10BD15 297 (38,9%)</w:t>
            </w:r>
          </w:p>
        </w:tc>
        <w:tc>
          <w:p>
            <w:pPr>
              <w:pStyle w:val="Normal"/>
            </w:pPr>
            <w:r>
              <w:t>A10BD20 270 (37,7%)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A10BD15 791 (35,8%)</w:t>
            </w:r>
          </w:p>
        </w:tc>
        <w:tc>
          <w:p>
            <w:pPr>
              <w:pStyle w:val="Normal"/>
            </w:pPr>
            <w:r>
              <w:t>A10BD16 268 (36,9%)</w:t>
            </w:r>
          </w:p>
        </w:tc>
        <w:tc>
          <w:p>
            <w:pPr>
              <w:pStyle w:val="Normal"/>
            </w:pPr>
            <w:r>
              <w:t>A10BD07 291 (38,1%)</w:t>
            </w:r>
          </w:p>
        </w:tc>
        <w:tc>
          <w:p>
            <w:pPr>
              <w:pStyle w:val="Normal"/>
            </w:pPr>
            <w:r>
              <w:t>A10BD21 266 (37,1%)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A10AE54 789 (35,7%)</w:t>
            </w:r>
          </w:p>
        </w:tc>
        <w:tc>
          <w:p>
            <w:pPr>
              <w:pStyle w:val="Normal"/>
            </w:pPr>
            <w:r>
              <w:t>A10BD07 264 (36,3%)</w:t>
            </w:r>
          </w:p>
        </w:tc>
        <w:tc>
          <w:p>
            <w:pPr>
              <w:pStyle w:val="Normal"/>
            </w:pPr>
            <w:r>
              <w:t>A10AE54 286 (37,4%)</w:t>
            </w:r>
          </w:p>
        </w:tc>
        <w:tc>
          <w:p>
            <w:pPr>
              <w:pStyle w:val="Normal"/>
            </w:pPr>
            <w:r>
              <w:t>A10BD13 265 (37,0%)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A10BD16 785 (35,6%)</w:t>
            </w:r>
          </w:p>
        </w:tc>
        <w:tc>
          <w:p>
            <w:pPr>
              <w:pStyle w:val="Normal"/>
            </w:pPr>
            <w:r>
              <w:t>A10BD13 257 (35,4%)</w:t>
            </w:r>
          </w:p>
        </w:tc>
        <w:tc>
          <w:p>
            <w:pPr>
              <w:pStyle w:val="Normal"/>
            </w:pPr>
            <w:r>
              <w:t>A10BD09 285 (37,3%)</w:t>
            </w:r>
          </w:p>
        </w:tc>
        <w:tc>
          <w:p>
            <w:pPr>
              <w:pStyle w:val="Normal"/>
            </w:pPr>
            <w:r>
              <w:t>A10BD16 259 (36,1%)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2.193 (99,3%)</w:t>
            </w:r>
          </w:p>
        </w:tc>
        <w:tc>
          <w:p>
            <w:pPr>
              <w:pStyle w:val="Normal"/>
            </w:pPr>
            <w:r>
              <w:t>A10BD 720 (99,0%)</w:t>
            </w:r>
          </w:p>
        </w:tc>
        <w:tc>
          <w:p>
            <w:pPr>
              <w:pStyle w:val="Normal"/>
            </w:pPr>
            <w:r>
              <w:t>A10BD 763 (99,9%)</w:t>
            </w:r>
          </w:p>
        </w:tc>
        <w:tc>
          <w:p>
            <w:pPr>
              <w:pStyle w:val="Normal"/>
            </w:pPr>
            <w:r>
              <w:t>A10BD 710 (99,0%)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1.089 (49,3%)</w:t>
            </w:r>
          </w:p>
        </w:tc>
        <w:tc>
          <w:p>
            <w:pPr>
              <w:pStyle w:val="Normal"/>
            </w:pPr>
            <w:r>
              <w:t>A10AE 360 (49,5%)</w:t>
            </w:r>
          </w:p>
        </w:tc>
        <w:tc>
          <w:p>
            <w:pPr>
              <w:pStyle w:val="Normal"/>
            </w:pPr>
            <w:r>
              <w:t>A10AE 380 (49,7%)</w:t>
            </w:r>
          </w:p>
        </w:tc>
        <w:tc>
          <w:p>
            <w:pPr>
              <w:pStyle w:val="Normal"/>
            </w:pPr>
            <w:r>
              <w:t>A10AE 349 (48,7%)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A10BH 678 (30,7%)</w:t>
            </w:r>
          </w:p>
        </w:tc>
        <w:tc>
          <w:p>
            <w:pPr>
              <w:pStyle w:val="Normal"/>
            </w:pPr>
            <w:r>
              <w:t>A10BH 235 (32,3%)</w:t>
            </w:r>
          </w:p>
        </w:tc>
        <w:tc>
          <w:p>
            <w:pPr>
              <w:pStyle w:val="Normal"/>
            </w:pPr>
            <w:r>
              <w:t>A10BK 253 (33,1%)</w:t>
            </w:r>
          </w:p>
        </w:tc>
        <w:tc>
          <w:p>
            <w:pPr>
              <w:pStyle w:val="Normal"/>
            </w:pPr>
            <w:r>
              <w:t>A10BJ 226 (31,5%)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A10BK 653 (29,6%)</w:t>
            </w:r>
          </w:p>
        </w:tc>
        <w:tc>
          <w:p>
            <w:pPr>
              <w:pStyle w:val="Normal"/>
            </w:pPr>
            <w:r>
              <w:t>A10BX 201 (27,6%)</w:t>
            </w:r>
          </w:p>
        </w:tc>
        <w:tc>
          <w:p>
            <w:pPr>
              <w:pStyle w:val="Normal"/>
            </w:pPr>
            <w:r>
              <w:t>A10BH 229 (30,0%)</w:t>
            </w:r>
          </w:p>
        </w:tc>
        <w:tc>
          <w:p>
            <w:pPr>
              <w:pStyle w:val="Normal"/>
            </w:pPr>
            <w:r>
              <w:t>A10BH 214 (29,8%)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A10BJ 639 (28,9%)</w:t>
            </w:r>
          </w:p>
        </w:tc>
        <w:tc>
          <w:p>
            <w:pPr>
              <w:pStyle w:val="Normal"/>
            </w:pPr>
            <w:r>
              <w:t>A10BK 201 (27,6%)</w:t>
            </w:r>
          </w:p>
        </w:tc>
        <w:tc>
          <w:p>
            <w:pPr>
              <w:pStyle w:val="Normal"/>
            </w:pPr>
            <w:r>
              <w:t>A10BJ 223 (29,2%)</w:t>
            </w:r>
          </w:p>
        </w:tc>
        <w:tc>
          <w:p>
            <w:pPr>
              <w:pStyle w:val="Normal"/>
            </w:pPr>
            <w:r>
              <w:t>A10BK 199 (27,8%)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2026-09-24T11:12:07Z</dcterms:modified>
  <cp:category/>
</cp:coreProperties>
</file>