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3216</w:t>
            </w:r>
          </w:p>
        </w:tc>
        <w:tc>
          <w:p>
            <w:pPr>
              <w:pStyle w:val="Normal"/>
            </w:pPr>
            <w:r>
              <w:t>1068</w:t>
            </w:r>
          </w:p>
        </w:tc>
        <w:tc>
          <w:p>
            <w:pPr>
              <w:pStyle w:val="Normal"/>
            </w:pPr>
            <w:r>
              <w:t>1115</w:t>
            </w:r>
          </w:p>
        </w:tc>
        <w:tc>
          <w:p>
            <w:pPr>
              <w:pStyle w:val="Normal"/>
            </w:pPr>
            <w:r>
              <w:t>1033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1.585 (49,3%)</w:t>
            </w:r>
          </w:p>
        </w:tc>
        <w:tc>
          <w:p>
            <w:pPr>
              <w:pStyle w:val="Normal"/>
            </w:pPr>
            <w:r>
              <w:t>512 (47,9%)</w:t>
            </w:r>
          </w:p>
        </w:tc>
        <w:tc>
          <w:p>
            <w:pPr>
              <w:pStyle w:val="Normal"/>
            </w:pPr>
            <w:r>
              <w:t>537 (48,2%)</w:t>
            </w:r>
          </w:p>
        </w:tc>
        <w:tc>
          <w:p>
            <w:pPr>
              <w:pStyle w:val="Normal"/>
            </w:pPr>
            <w:r>
              <w:t>536 (51,9%)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1.075 (33,4%)</w:t>
            </w:r>
          </w:p>
        </w:tc>
        <w:tc>
          <w:p>
            <w:pPr>
              <w:pStyle w:val="Normal"/>
            </w:pPr>
            <w:r>
              <w:t>370 (34,6%)</w:t>
            </w:r>
          </w:p>
        </w:tc>
        <w:tc>
          <w:p>
            <w:pPr>
              <w:pStyle w:val="Normal"/>
            </w:pPr>
            <w:r>
              <w:t>353 (31,7%)</w:t>
            </w:r>
          </w:p>
        </w:tc>
        <w:tc>
          <w:p>
            <w:pPr>
              <w:pStyle w:val="Normal"/>
            </w:pPr>
            <w:r>
              <w:t>352 (34,1%)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1.053 (32,7%)</w:t>
            </w:r>
          </w:p>
        </w:tc>
        <w:tc>
          <w:p>
            <w:pPr>
              <w:pStyle w:val="Normal"/>
            </w:pPr>
            <w:r>
              <w:t>325 (30,4%)</w:t>
            </w:r>
          </w:p>
        </w:tc>
        <w:tc>
          <w:p>
            <w:pPr>
              <w:pStyle w:val="Normal"/>
            </w:pPr>
            <w:r>
              <w:t>390 (35,0%)</w:t>
            </w:r>
          </w:p>
        </w:tc>
        <w:tc>
          <w:p>
            <w:pPr>
              <w:pStyle w:val="Normal"/>
            </w:pPr>
            <w:r>
              <w:t>338 (32,7%)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1.088 (33,8%)</w:t>
            </w:r>
          </w:p>
        </w:tc>
        <w:tc>
          <w:p>
            <w:pPr>
              <w:pStyle w:val="Normal"/>
            </w:pPr>
            <w:r>
              <w:t>373 (34,9%)</w:t>
            </w:r>
          </w:p>
        </w:tc>
        <w:tc>
          <w:p>
            <w:pPr>
              <w:pStyle w:val="Normal"/>
            </w:pPr>
            <w:r>
              <w:t>372 (33,4%)</w:t>
            </w:r>
          </w:p>
        </w:tc>
        <w:tc>
          <w:p>
            <w:pPr>
              <w:pStyle w:val="Normal"/>
            </w:pPr>
            <w:r>
              <w:t>343 (33,2%)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250 (7,8%)</w:t>
            </w:r>
          </w:p>
        </w:tc>
        <w:tc>
          <w:p>
            <w:pPr>
              <w:pStyle w:val="Normal"/>
            </w:pPr>
            <w:r>
              <w:t>82 (7,7%)</w:t>
            </w:r>
          </w:p>
        </w:tc>
        <w:tc>
          <w:p>
            <w:pPr>
              <w:pStyle w:val="Normal"/>
            </w:pPr>
            <w:r>
              <w:t>94 (8,4%)</w:t>
            </w:r>
          </w:p>
        </w:tc>
        <w:tc>
          <w:p>
            <w:pPr>
              <w:pStyle w:val="Normal"/>
            </w:pPr>
            <w:r>
              <w:t>74 (7,2%)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A10BH 1.167 (36,3%)</w:t>
            </w:r>
          </w:p>
        </w:tc>
        <w:tc>
          <w:p>
            <w:pPr>
              <w:pStyle w:val="Normal"/>
            </w:pPr>
            <w:r>
              <w:t>A10BD07 411 (38,5%)</w:t>
            </w:r>
          </w:p>
        </w:tc>
        <w:tc>
          <w:p>
            <w:pPr>
              <w:pStyle w:val="Normal"/>
            </w:pPr>
            <w:r>
              <w:t>A10BD15 407 (36,5%)</w:t>
            </w:r>
          </w:p>
        </w:tc>
        <w:tc>
          <w:p>
            <w:pPr>
              <w:pStyle w:val="Normal"/>
            </w:pPr>
            <w:r>
              <w:t>A10BH 400 (38,7%)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A10BD07 1.137 (35,4%)</w:t>
            </w:r>
          </w:p>
        </w:tc>
        <w:tc>
          <w:p>
            <w:pPr>
              <w:pStyle w:val="Normal"/>
            </w:pPr>
            <w:r>
              <w:t>A10BH 395 (37,0%)</w:t>
            </w:r>
          </w:p>
        </w:tc>
        <w:tc>
          <w:p>
            <w:pPr>
              <w:pStyle w:val="Normal"/>
            </w:pPr>
            <w:r>
              <w:t>A10BK 406 (36,4%)</w:t>
            </w:r>
          </w:p>
        </w:tc>
        <w:tc>
          <w:p>
            <w:pPr>
              <w:pStyle w:val="Normal"/>
            </w:pPr>
            <w:r>
              <w:t>A10BD09 377 (36,5%)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A10BD08 1.132 (35,2%)</w:t>
            </w:r>
          </w:p>
        </w:tc>
        <w:tc>
          <w:p>
            <w:pPr>
              <w:pStyle w:val="Normal"/>
            </w:pPr>
            <w:r>
              <w:t>A10BD21 392 (36,7%)</w:t>
            </w:r>
          </w:p>
        </w:tc>
        <w:tc>
          <w:p>
            <w:pPr>
              <w:pStyle w:val="Normal"/>
            </w:pPr>
            <w:r>
              <w:t>A10BD08 403 (36,1%)</w:t>
            </w:r>
          </w:p>
        </w:tc>
        <w:tc>
          <w:p>
            <w:pPr>
              <w:pStyle w:val="Normal"/>
            </w:pPr>
            <w:r>
              <w:t>A10BD10 377 (36,5%)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A10BD16 1.131 (35,2%)</w:t>
            </w:r>
          </w:p>
        </w:tc>
        <w:tc>
          <w:p>
            <w:pPr>
              <w:pStyle w:val="Normal"/>
            </w:pPr>
            <w:r>
              <w:t>A10BD16 389 (36,4%)</w:t>
            </w:r>
          </w:p>
        </w:tc>
        <w:tc>
          <w:p>
            <w:pPr>
              <w:pStyle w:val="Normal"/>
            </w:pPr>
            <w:r>
              <w:t>A10BD19 398 (35,7%)</w:t>
            </w:r>
          </w:p>
        </w:tc>
        <w:tc>
          <w:p>
            <w:pPr>
              <w:pStyle w:val="Normal"/>
            </w:pPr>
            <w:r>
              <w:t>A10BD20 373 (36,1%)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A10BD20 1.126 (35,0%)</w:t>
            </w:r>
          </w:p>
        </w:tc>
        <w:tc>
          <w:p>
            <w:pPr>
              <w:pStyle w:val="Normal"/>
            </w:pPr>
            <w:r>
              <w:t>A10BD08 383 (35,9%)</w:t>
            </w:r>
          </w:p>
        </w:tc>
        <w:tc>
          <w:p>
            <w:pPr>
              <w:pStyle w:val="Normal"/>
            </w:pPr>
            <w:r>
              <w:t>A10AE56 392 (35,2%)</w:t>
            </w:r>
          </w:p>
        </w:tc>
        <w:tc>
          <w:p>
            <w:pPr>
              <w:pStyle w:val="Normal"/>
            </w:pPr>
            <w:r>
              <w:t>A10BD23 370 (35,8%)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3.192 (99,3%)</w:t>
            </w:r>
          </w:p>
        </w:tc>
        <w:tc>
          <w:p>
            <w:pPr>
              <w:pStyle w:val="Normal"/>
            </w:pPr>
            <w:r>
              <w:t>A10BD 1.057 (99,0%)</w:t>
            </w:r>
          </w:p>
        </w:tc>
        <w:tc>
          <w:p>
            <w:pPr>
              <w:pStyle w:val="Normal"/>
            </w:pPr>
            <w:r>
              <w:t>A10BD 1.113 (99,8%)</w:t>
            </w:r>
          </w:p>
        </w:tc>
        <w:tc>
          <w:p>
            <w:pPr>
              <w:pStyle w:val="Normal"/>
            </w:pPr>
            <w:r>
              <w:t>A10BD 1.022 (98,9%)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1.594 (49,6%)</w:t>
            </w:r>
          </w:p>
        </w:tc>
        <w:tc>
          <w:p>
            <w:pPr>
              <w:pStyle w:val="Normal"/>
            </w:pPr>
            <w:r>
              <w:t>A10AE 545 (51,0%)</w:t>
            </w:r>
          </w:p>
        </w:tc>
        <w:tc>
          <w:p>
            <w:pPr>
              <w:pStyle w:val="Normal"/>
            </w:pPr>
            <w:r>
              <w:t>A10AE 557 (50,0%)</w:t>
            </w:r>
          </w:p>
        </w:tc>
        <w:tc>
          <w:p>
            <w:pPr>
              <w:pStyle w:val="Normal"/>
            </w:pPr>
            <w:r>
              <w:t>A10AE 492 (47,6%)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A10BH 971 (30,2%)</w:t>
            </w:r>
          </w:p>
        </w:tc>
        <w:tc>
          <w:p>
            <w:pPr>
              <w:pStyle w:val="Normal"/>
            </w:pPr>
            <w:r>
              <w:t>A10BH 329 (30,8%)</w:t>
            </w:r>
          </w:p>
        </w:tc>
        <w:tc>
          <w:p>
            <w:pPr>
              <w:pStyle w:val="Normal"/>
            </w:pPr>
            <w:r>
              <w:t>A10BK 342 (30,7%)</w:t>
            </w:r>
          </w:p>
        </w:tc>
        <w:tc>
          <w:p>
            <w:pPr>
              <w:pStyle w:val="Normal"/>
            </w:pPr>
            <w:r>
              <w:t>A10BH 330 (31,9%)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A10BK 943 (29,3%)</w:t>
            </w:r>
          </w:p>
        </w:tc>
        <w:tc>
          <w:p>
            <w:pPr>
              <w:pStyle w:val="Normal"/>
            </w:pPr>
            <w:r>
              <w:t>A10BJ 312 (29,2%)</w:t>
            </w:r>
          </w:p>
        </w:tc>
        <w:tc>
          <w:p>
            <w:pPr>
              <w:pStyle w:val="Normal"/>
            </w:pPr>
            <w:r>
              <w:t>A10BJ 324 (29,1%)</w:t>
            </w:r>
          </w:p>
        </w:tc>
        <w:tc>
          <w:p>
            <w:pPr>
              <w:pStyle w:val="Normal"/>
            </w:pPr>
            <w:r>
              <w:t>A10BX 307 (29,7%)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A10BJ 918 (28,5%)</w:t>
            </w:r>
          </w:p>
        </w:tc>
        <w:tc>
          <w:p>
            <w:pPr>
              <w:pStyle w:val="Normal"/>
            </w:pPr>
            <w:r>
              <w:t>A10BK 297 (27,8%)</w:t>
            </w:r>
          </w:p>
        </w:tc>
        <w:tc>
          <w:p>
            <w:pPr>
              <w:pStyle w:val="Normal"/>
            </w:pPr>
            <w:r>
              <w:t>A10BX 313 (28,1%)</w:t>
            </w:r>
          </w:p>
        </w:tc>
        <w:tc>
          <w:p>
            <w:pPr>
              <w:pStyle w:val="Normal"/>
            </w:pPr>
            <w:r>
              <w:t>A10BK 304 (29,4%)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2026-09-24T11:12:06Z</dcterms:modified>
  <cp:category/>
</cp:coreProperties>
</file>