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458</w:t>
            </w:r>
          </w:p>
        </w:tc>
        <w:tc>
          <w:p>
            <w:pPr>
              <w:pStyle w:val="Normal"/>
            </w:pPr>
            <w:r>
              <w:t>143</w:t>
            </w:r>
          </w:p>
        </w:tc>
        <w:tc>
          <w:p>
            <w:pPr>
              <w:pStyle w:val="Normal"/>
            </w:pPr>
            <w:r>
              <w:t>154</w:t>
            </w:r>
          </w:p>
        </w:tc>
        <w:tc>
          <w:p>
            <w:pPr>
              <w:pStyle w:val="Normal"/>
            </w:pPr>
            <w:r>
              <w:t>161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218 (47,6%)</w:t>
            </w:r>
          </w:p>
        </w:tc>
        <w:tc>
          <w:p>
            <w:pPr>
              <w:pStyle w:val="Normal"/>
            </w:pPr>
            <w:r>
              <w:t>76 (53,1%)</w:t>
            </w:r>
          </w:p>
        </w:tc>
        <w:tc>
          <w:p>
            <w:pPr>
              <w:pStyle w:val="Normal"/>
            </w:pPr>
            <w:r>
              <w:t>60 (39,0%)</w:t>
            </w:r>
          </w:p>
        </w:tc>
        <w:tc>
          <w:p>
            <w:pPr>
              <w:pStyle w:val="Normal"/>
            </w:pPr>
            <w:r>
              <w:t>82 (50,9%)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169 (36,9%)</w:t>
            </w:r>
          </w:p>
        </w:tc>
        <w:tc>
          <w:p>
            <w:pPr>
              <w:pStyle w:val="Normal"/>
            </w:pPr>
            <w:r>
              <w:t>61 (42,7%)</w:t>
            </w:r>
          </w:p>
        </w:tc>
        <w:tc>
          <w:p>
            <w:pPr>
              <w:pStyle w:val="Normal"/>
            </w:pPr>
            <w:r>
              <w:t>45 (29,2%)</w:t>
            </w:r>
          </w:p>
        </w:tc>
        <w:tc>
          <w:p>
            <w:pPr>
              <w:pStyle w:val="Normal"/>
            </w:pPr>
            <w:r>
              <w:t>63 (39,1%)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138 (30,1%)</w:t>
            </w:r>
          </w:p>
        </w:tc>
        <w:tc>
          <w:p>
            <w:pPr>
              <w:pStyle w:val="Normal"/>
            </w:pPr>
            <w:r>
              <w:t>34 (23,8%)</w:t>
            </w:r>
          </w:p>
        </w:tc>
        <w:tc>
          <w:p>
            <w:pPr>
              <w:pStyle w:val="Normal"/>
            </w:pPr>
            <w:r>
              <w:t>48 (31,2%)</w:t>
            </w:r>
          </w:p>
        </w:tc>
        <w:tc>
          <w:p>
            <w:pPr>
              <w:pStyle w:val="Normal"/>
            </w:pPr>
            <w:r>
              <w:t>56 (34,8%)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151 (33,0%)</w:t>
            </w:r>
          </w:p>
        </w:tc>
        <w:tc>
          <w:p>
            <w:pPr>
              <w:pStyle w:val="Normal"/>
            </w:pPr>
            <w:r>
              <w:t>48 (33,6%)</w:t>
            </w:r>
          </w:p>
        </w:tc>
        <w:tc>
          <w:p>
            <w:pPr>
              <w:pStyle w:val="Normal"/>
            </w:pPr>
            <w:r>
              <w:t>61 (39,6%)</w:t>
            </w:r>
          </w:p>
        </w:tc>
        <w:tc>
          <w:p>
            <w:pPr>
              <w:pStyle w:val="Normal"/>
            </w:pPr>
            <w:r>
              <w:t>42 (26,1%)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32 (7,0%)</w:t>
            </w:r>
          </w:p>
        </w:tc>
        <w:tc>
          <w:p>
            <w:pPr>
              <w:pStyle w:val="Normal"/>
            </w:pPr>
            <w:r>
              <w:t>7 (4,9%)</w:t>
            </w:r>
          </w:p>
        </w:tc>
        <w:tc>
          <w:p>
            <w:pPr>
              <w:pStyle w:val="Normal"/>
            </w:pPr>
            <w:r>
              <w:t>12 (7,8%)</w:t>
            </w:r>
          </w:p>
        </w:tc>
        <w:tc>
          <w:p>
            <w:pPr>
              <w:pStyle w:val="Normal"/>
            </w:pPr>
            <w:r>
              <w:t>13 (8,1%)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A10BH 175 (38,2%)</w:t>
            </w:r>
          </w:p>
        </w:tc>
        <w:tc>
          <w:p>
            <w:pPr>
              <w:pStyle w:val="Normal"/>
            </w:pPr>
            <w:r>
              <w:t>A10BJ 57 (39,9%)</w:t>
            </w:r>
          </w:p>
        </w:tc>
        <w:tc>
          <w:p>
            <w:pPr>
              <w:pStyle w:val="Normal"/>
            </w:pPr>
            <w:r>
              <w:t>A10BD07 66 (42,9%)</w:t>
            </w:r>
          </w:p>
        </w:tc>
        <w:tc>
          <w:p>
            <w:pPr>
              <w:pStyle w:val="Normal"/>
            </w:pPr>
            <w:r>
              <w:t>A10BH 64 (39,8%)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A10BJ 175 (38,2%)</w:t>
            </w:r>
          </w:p>
        </w:tc>
        <w:tc>
          <w:p>
            <w:pPr>
              <w:pStyle w:val="Normal"/>
            </w:pPr>
            <w:r>
              <w:t>A10BD24 57 (39,9%)</w:t>
            </w:r>
          </w:p>
        </w:tc>
        <w:tc>
          <w:p>
            <w:pPr>
              <w:pStyle w:val="Normal"/>
            </w:pPr>
            <w:r>
              <w:t>A10AE56 66 (42,9%)</w:t>
            </w:r>
          </w:p>
        </w:tc>
        <w:tc>
          <w:p>
            <w:pPr>
              <w:pStyle w:val="Normal"/>
            </w:pPr>
            <w:r>
              <w:t>A10AE54 63 (39,1%)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A10AE56 174 (38,0%)</w:t>
            </w:r>
          </w:p>
        </w:tc>
        <w:tc>
          <w:p>
            <w:pPr>
              <w:pStyle w:val="Normal"/>
            </w:pPr>
            <w:r>
              <w:t>A10AE56 57 (39,9%)</w:t>
            </w:r>
          </w:p>
        </w:tc>
        <w:tc>
          <w:p>
            <w:pPr>
              <w:pStyle w:val="Normal"/>
            </w:pPr>
            <w:r>
              <w:t>A10BD15 65 (42,2%)</w:t>
            </w:r>
          </w:p>
        </w:tc>
        <w:tc>
          <w:p>
            <w:pPr>
              <w:pStyle w:val="Normal"/>
            </w:pPr>
            <w:r>
              <w:t>A10BD16 63 (39,1%)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A10BD16 174 (38,0%)</w:t>
            </w:r>
          </w:p>
        </w:tc>
        <w:tc>
          <w:p>
            <w:pPr>
              <w:pStyle w:val="Normal"/>
            </w:pPr>
            <w:r>
              <w:t>A10BD16 55 (38,5%)</w:t>
            </w:r>
          </w:p>
        </w:tc>
        <w:tc>
          <w:p>
            <w:pPr>
              <w:pStyle w:val="Normal"/>
            </w:pPr>
            <w:r>
              <w:t>A10BK 65 (42,2%)</w:t>
            </w:r>
          </w:p>
        </w:tc>
        <w:tc>
          <w:p>
            <w:pPr>
              <w:pStyle w:val="Normal"/>
            </w:pPr>
            <w:r>
              <w:t>A10BD20 62 (38,5%)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A10BD15 173 (37,8%)</w:t>
            </w:r>
          </w:p>
        </w:tc>
        <w:tc>
          <w:p>
            <w:pPr>
              <w:pStyle w:val="Normal"/>
            </w:pPr>
            <w:r>
              <w:t>A10BD07 55 (38,5%)</w:t>
            </w:r>
          </w:p>
        </w:tc>
        <w:tc>
          <w:p>
            <w:pPr>
              <w:pStyle w:val="Normal"/>
            </w:pPr>
            <w:r>
              <w:t>A10BH 60 (39,0%)</w:t>
            </w:r>
          </w:p>
        </w:tc>
        <w:tc>
          <w:p>
            <w:pPr>
              <w:pStyle w:val="Normal"/>
            </w:pPr>
            <w:r>
              <w:t>A10BJ 61 (37,9%)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456 (99,6%)</w:t>
            </w:r>
          </w:p>
        </w:tc>
        <w:tc>
          <w:p>
            <w:pPr>
              <w:pStyle w:val="Normal"/>
            </w:pPr>
            <w:r>
              <w:t>A10BD 143 (100,0%)</w:t>
            </w:r>
          </w:p>
        </w:tc>
        <w:tc>
          <w:p>
            <w:pPr>
              <w:pStyle w:val="Normal"/>
            </w:pPr>
            <w:r>
              <w:t>A10BD 153 (99,4%)</w:t>
            </w:r>
          </w:p>
        </w:tc>
        <w:tc>
          <w:p>
            <w:pPr>
              <w:pStyle w:val="Normal"/>
            </w:pPr>
            <w:r>
              <w:t>A10BD 160 (99,4%)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A10AE 240 (52,4%)</w:t>
            </w:r>
          </w:p>
        </w:tc>
        <w:tc>
          <w:p>
            <w:pPr>
              <w:pStyle w:val="Normal"/>
            </w:pPr>
            <w:r>
              <w:t>A10AE 69 (48,3%)</w:t>
            </w:r>
          </w:p>
        </w:tc>
        <w:tc>
          <w:p>
            <w:pPr>
              <w:pStyle w:val="Normal"/>
            </w:pPr>
            <w:r>
              <w:t>A10AE 84 (54,5%)</w:t>
            </w:r>
          </w:p>
        </w:tc>
        <w:tc>
          <w:p>
            <w:pPr>
              <w:pStyle w:val="Normal"/>
            </w:pPr>
            <w:r>
              <w:t>A10AE 87 (54,0%)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A10BJ 152 (33,2%)</w:t>
            </w:r>
          </w:p>
        </w:tc>
        <w:tc>
          <w:p>
            <w:pPr>
              <w:pStyle w:val="Normal"/>
            </w:pPr>
            <w:r>
              <w:t>A10BJ 50 (35,0%)</w:t>
            </w:r>
          </w:p>
        </w:tc>
        <w:tc>
          <w:p>
            <w:pPr>
              <w:pStyle w:val="Normal"/>
            </w:pPr>
            <w:r>
              <w:t>A10BK 54 (35,1%)</w:t>
            </w:r>
          </w:p>
        </w:tc>
        <w:tc>
          <w:p>
            <w:pPr>
              <w:pStyle w:val="Normal"/>
            </w:pPr>
            <w:r>
              <w:t>A10BH 54 (33,5%)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A10BH 141 (30,8%)</w:t>
            </w:r>
          </w:p>
        </w:tc>
        <w:tc>
          <w:p>
            <w:pPr>
              <w:pStyle w:val="Normal"/>
            </w:pPr>
            <w:r>
              <w:t>A10BX 49 (34,3%)</w:t>
            </w:r>
          </w:p>
        </w:tc>
        <w:tc>
          <w:p>
            <w:pPr>
              <w:pStyle w:val="Normal"/>
            </w:pPr>
            <w:r>
              <w:t>A10BJ 49 (31,8%)</w:t>
            </w:r>
          </w:p>
        </w:tc>
        <w:tc>
          <w:p>
            <w:pPr>
              <w:pStyle w:val="Normal"/>
            </w:pPr>
            <w:r>
              <w:t>A10BJ 53 (32,9%)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A10BK 137 (29,9%)</w:t>
            </w:r>
          </w:p>
        </w:tc>
        <w:tc>
          <w:p>
            <w:pPr>
              <w:pStyle w:val="Normal"/>
            </w:pPr>
            <w:r>
              <w:t>A10BH 44 (30,8%)</w:t>
            </w:r>
          </w:p>
        </w:tc>
        <w:tc>
          <w:p>
            <w:pPr>
              <w:pStyle w:val="Normal"/>
            </w:pPr>
            <w:r>
              <w:t>A10BH 43 (27,9%)</w:t>
            </w:r>
          </w:p>
        </w:tc>
        <w:tc>
          <w:p>
            <w:pPr>
              <w:pStyle w:val="Normal"/>
            </w:pPr>
            <w:r>
              <w:t>A10BX 42 (26,1%)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2026-09-24T11:12:05Z</dcterms:modified>
  <cp:category/>
</cp:coreProperties>
</file>