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Tutte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581</w:t>
            </w:r>
          </w:p>
        </w:tc>
        <w:tc>
          <w:p>
            <w:pPr>
              <w:pStyle w:val="Normal"/>
            </w:pPr>
            <w:r>
              <w:t>555</w:t>
            </w:r>
          </w:p>
        </w:tc>
        <w:tc>
          <w:p>
            <w:pPr>
              <w:pStyle w:val="Normal"/>
            </w:pPr>
            <w:r>
              <w:t>533</w:t>
            </w:r>
          </w:p>
        </w:tc>
        <w:tc>
          <w:p>
            <w:pPr>
              <w:pStyle w:val="Normal"/>
            </w:pPr>
            <w:r>
              <w:t>1669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296 (50,9%)</w:t>
            </w:r>
          </w:p>
        </w:tc>
        <w:tc>
          <w:p>
            <w:pPr>
              <w:pStyle w:val="Normal"/>
            </w:pPr>
            <w:r>
              <w:t>274 (49,4%)</w:t>
            </w:r>
          </w:p>
        </w:tc>
        <w:tc>
          <w:p>
            <w:pPr>
              <w:pStyle w:val="Normal"/>
            </w:pPr>
            <w:r>
              <w:t>289 (54,2%)</w:t>
            </w:r>
          </w:p>
        </w:tc>
        <w:tc>
          <w:p>
            <w:pPr>
              <w:pStyle w:val="Normal"/>
            </w:pPr>
            <w:r>
              <w:t>859 (51,5%)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42 (7,2%)</w:t>
            </w:r>
          </w:p>
        </w:tc>
        <w:tc>
          <w:p>
            <w:pPr>
              <w:pStyle w:val="Normal"/>
            </w:pPr>
            <w:r>
              <w:t>40 (7,2%)</w:t>
            </w:r>
          </w:p>
        </w:tc>
        <w:tc>
          <w:p>
            <w:pPr>
              <w:pStyle w:val="Normal"/>
            </w:pPr>
            <w:r>
              <w:t>46 (8,6%)</w:t>
            </w:r>
          </w:p>
        </w:tc>
        <w:tc>
          <w:p>
            <w:pPr>
              <w:pStyle w:val="Normal"/>
            </w:pPr>
            <w:r>
              <w:t>128 (7,7%)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NA 226 (38,9%)</w:t>
            </w:r>
          </w:p>
        </w:tc>
        <w:tc>
          <w:p>
            <w:pPr>
              <w:pStyle w:val="Normal"/>
            </w:pPr>
            <w:r>
              <w:t>kk 219 (39,5%)</w:t>
            </w:r>
          </w:p>
        </w:tc>
        <w:tc>
          <w:p>
            <w:pPr>
              <w:pStyle w:val="Normal"/>
            </w:pPr>
            <w:r>
              <w:t>mm 202 (37,9%)</w:t>
            </w:r>
          </w:p>
        </w:tc>
        <w:tc>
          <w:p>
            <w:pPr>
              <w:pStyle w:val="Normal"/>
            </w:pPr>
            <w:r>
              <w:t>kk 607 (36,4%)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kk 218 (37,5%)</w:t>
            </w:r>
          </w:p>
        </w:tc>
        <w:tc>
          <w:p>
            <w:pPr>
              <w:pStyle w:val="Normal"/>
            </w:pPr>
            <w:r>
              <w:t>nn 212 (38,2%)</w:t>
            </w:r>
          </w:p>
        </w:tc>
        <w:tc>
          <w:p>
            <w:pPr>
              <w:pStyle w:val="Normal"/>
            </w:pPr>
            <w:r>
              <w:t>oo 200 (37,5%)</w:t>
            </w:r>
          </w:p>
        </w:tc>
        <w:tc>
          <w:p>
            <w:pPr>
              <w:pStyle w:val="Normal"/>
            </w:pPr>
            <w:r>
              <w:t>jj 603 (36,1%)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ee 214 (36,8%)</w:t>
            </w:r>
          </w:p>
        </w:tc>
        <w:tc>
          <w:p>
            <w:pPr>
              <w:pStyle w:val="Normal"/>
            </w:pPr>
            <w:r>
              <w:t>oo 209 (37,7%)</w:t>
            </w:r>
          </w:p>
        </w:tc>
        <w:tc>
          <w:p>
            <w:pPr>
              <w:pStyle w:val="Normal"/>
            </w:pPr>
            <w:r>
              <w:t>jj 198 (37,1%)</w:t>
            </w:r>
          </w:p>
        </w:tc>
        <w:tc>
          <w:p>
            <w:pPr>
              <w:pStyle w:val="Normal"/>
            </w:pPr>
            <w:r>
              <w:t>mm 597 (35,8%)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jj 212 (36,5%)</w:t>
            </w:r>
          </w:p>
        </w:tc>
        <w:tc>
          <w:p>
            <w:pPr>
              <w:pStyle w:val="Normal"/>
            </w:pPr>
            <w:r>
              <w:t>rr 204 (36,8%)</w:t>
            </w:r>
          </w:p>
        </w:tc>
        <w:tc>
          <w:p>
            <w:pPr>
              <w:pStyle w:val="Normal"/>
            </w:pPr>
            <w:r>
              <w:t>hh 195 (36,6%)</w:t>
            </w:r>
          </w:p>
        </w:tc>
        <w:tc>
          <w:p>
            <w:pPr>
              <w:pStyle w:val="Normal"/>
            </w:pPr>
            <w:r>
              <w:t>oo 592 (35,5%)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nn 208 (35,8%)</w:t>
            </w:r>
          </w:p>
        </w:tc>
        <w:tc>
          <w:p>
            <w:pPr>
              <w:pStyle w:val="Normal"/>
            </w:pPr>
            <w:r>
              <w:t>NA 203 (36,6%)</w:t>
            </w:r>
          </w:p>
        </w:tc>
        <w:tc>
          <w:p>
            <w:pPr>
              <w:pStyle w:val="Normal"/>
            </w:pPr>
            <w:r>
              <w:t>cc 194 (36,4%)</w:t>
            </w:r>
          </w:p>
        </w:tc>
        <w:tc>
          <w:p>
            <w:pPr>
              <w:pStyle w:val="Normal"/>
            </w:pPr>
            <w:r>
              <w:t>NA 590 (35,4%)</w:t>
            </w:r>
          </w:p>
        </w:tc>
      </w:tr>
      <w:tr>
        <w:tc>
          <w:p>
            <w:pPr>
              <w:pStyle w:val="Normal"/>
            </w:pPr>
            <w:r>
              <w:t>Contesto assistenziale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RSA e/o ADI (≥1 giorno durate l’anno)</w:t>
            </w:r>
          </w:p>
        </w:tc>
        <w:tc>
          <w:p>
            <w:pPr>
              <w:pStyle w:val="Normal"/>
            </w:pPr>
            <w:r>
              <w:t>3 (0,5%)</w:t>
            </w:r>
          </w:p>
        </w:tc>
        <w:tc>
          <w:p>
            <w:pPr>
              <w:pStyle w:val="Normal"/>
            </w:pPr>
            <w:r>
              <w:t>5 (0,9%)</w:t>
            </w:r>
          </w:p>
        </w:tc>
        <w:tc>
          <w:p>
            <w:pPr>
              <w:pStyle w:val="Normal"/>
            </w:pPr>
            <w:r>
              <w:t>5 (0,9%)</w:t>
            </w:r>
          </w:p>
        </w:tc>
        <w:tc>
          <w:p>
            <w:pPr>
              <w:pStyle w:val="Normal"/>
            </w:pPr>
            <w:r>
              <w:t>13 (0,8%)</w:t>
            </w:r>
          </w:p>
        </w:tc>
      </w:tr>
      <w:tr>
        <w:tc>
          <w:p>
            <w:pPr>
              <w:pStyle w:val="Normal"/>
            </w:pPr>
            <w:r>
              <w:t>Esenzione per patologia cronica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Cardiocircolatoria</w:t>
            </w:r>
          </w:p>
        </w:tc>
        <w:tc>
          <w:p>
            <w:pPr>
              <w:pStyle w:val="Normal"/>
            </w:pPr>
            <w:r>
              <w:t>367 (63,2%)</w:t>
            </w:r>
          </w:p>
        </w:tc>
        <w:tc>
          <w:p>
            <w:pPr>
              <w:pStyle w:val="Normal"/>
            </w:pPr>
            <w:r>
              <w:t>357 (64,3%)</w:t>
            </w:r>
          </w:p>
        </w:tc>
        <w:tc>
          <w:p>
            <w:pPr>
              <w:pStyle w:val="Normal"/>
            </w:pPr>
            <w:r>
              <w:t>339 (63,6%)</w:t>
            </w:r>
          </w:p>
        </w:tc>
        <w:tc>
          <w:p>
            <w:pPr>
              <w:pStyle w:val="Normal"/>
            </w:pPr>
            <w:r>
              <w:t>1.063 (63,7%)</w:t>
            </w:r>
          </w:p>
        </w:tc>
      </w:tr>
      <w:tr>
        <w:tc>
          <w:p>
            <w:pPr>
              <w:pStyle w:val="Normal"/>
            </w:pPr>
            <w:r>
              <w:t>Reumatologica</w:t>
            </w:r>
          </w:p>
        </w:tc>
        <w:tc>
          <w:p>
            <w:pPr>
              <w:pStyle w:val="Normal"/>
            </w:pPr>
            <w:r>
              <w:t>61 (10,5%)</w:t>
            </w:r>
          </w:p>
        </w:tc>
        <w:tc>
          <w:p>
            <w:pPr>
              <w:pStyle w:val="Normal"/>
            </w:pPr>
            <w:r>
              <w:t>45 (8,1%)</w:t>
            </w:r>
          </w:p>
        </w:tc>
        <w:tc>
          <w:p>
            <w:pPr>
              <w:pStyle w:val="Normal"/>
            </w:pPr>
            <w:r>
              <w:t>63 (11,8%)</w:t>
            </w:r>
          </w:p>
        </w:tc>
        <w:tc>
          <w:p>
            <w:pPr>
              <w:pStyle w:val="Normal"/>
            </w:pPr>
            <w:r>
              <w:t>169 (10,1%)</w:t>
            </w:r>
          </w:p>
        </w:tc>
      </w:tr>
      <w:tr>
        <w:tc>
          <w:p>
            <w:pPr>
              <w:pStyle w:val="Normal"/>
            </w:pPr>
            <w:r>
              <w:t>Gastroenterologica</w:t>
            </w:r>
          </w:p>
        </w:tc>
        <w:tc>
          <w:p>
            <w:pPr>
              <w:pStyle w:val="Normal"/>
            </w:pPr>
            <w:r>
              <w:t>370 (63,7%)</w:t>
            </w:r>
          </w:p>
        </w:tc>
        <w:tc>
          <w:p>
            <w:pPr>
              <w:pStyle w:val="Normal"/>
            </w:pPr>
            <w:r>
              <w:t>353 (63,6%)</w:t>
            </w:r>
          </w:p>
        </w:tc>
        <w:tc>
          <w:p>
            <w:pPr>
              <w:pStyle w:val="Normal"/>
            </w:pPr>
            <w:r>
              <w:t>352 (66,0%)</w:t>
            </w:r>
          </w:p>
        </w:tc>
        <w:tc>
          <w:p>
            <w:pPr>
              <w:pStyle w:val="Normal"/>
            </w:pPr>
            <w:r>
              <w:t>1.075 (64,4%)</w:t>
            </w:r>
          </w:p>
        </w:tc>
      </w:tr>
      <w:tr>
        <w:tc>
          <w:p>
            <w:pPr>
              <w:pStyle w:val="Normal"/>
            </w:pPr>
            <w:r>
              <w:t>≥1 esenzione per qualsiasi malattia cronica</w:t>
            </w:r>
          </w:p>
        </w:tc>
        <w:tc>
          <w:p>
            <w:pPr>
              <w:pStyle w:val="Normal"/>
            </w:pPr>
            <w:r>
              <w:t>268 (46,1%)</w:t>
            </w:r>
          </w:p>
        </w:tc>
        <w:tc>
          <w:p>
            <w:pPr>
              <w:pStyle w:val="Normal"/>
            </w:pPr>
            <w:r>
              <w:t>233 (42,0%)</w:t>
            </w:r>
          </w:p>
        </w:tc>
        <w:tc>
          <w:p>
            <w:pPr>
              <w:pStyle w:val="Normal"/>
            </w:pPr>
            <w:r>
              <w:t>226 (42,4%)</w:t>
            </w:r>
          </w:p>
        </w:tc>
        <w:tc>
          <w:p>
            <w:pPr>
              <w:pStyle w:val="Normal"/>
            </w:pPr>
            <w:r>
              <w:t>727 (43,6%)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2026-10-07T09:51:15Z</dcterms:modified>
  <cp:category/>
</cp:coreProperties>
</file>