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ASL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  <w:tc>
          <w:p>
            <w:pPr>
              <w:pStyle w:val="Normal"/>
            </w:pPr>
            <w:r>
              <w:t>Tutte</w:t>
            </w:r>
          </w:p>
        </w:tc>
      </w:tr>
      <w:tr>
        <w:tc>
          <w:p>
            <w:pPr>
              <w:pStyle w:val="Normal"/>
            </w:pPr>
            <w:r>
              <w:t>Totale</w:t>
            </w:r>
          </w:p>
        </w:tc>
        <w:tc>
          <w:p>
            <w:pPr>
              <w:pStyle w:val="Normal"/>
            </w:pPr>
            <w:r>
              <w:t>507</w:t>
            </w:r>
          </w:p>
        </w:tc>
        <w:tc>
          <w:p>
            <w:pPr>
              <w:pStyle w:val="Normal"/>
            </w:pPr>
            <w:r>
              <w:t>591</w:t>
            </w:r>
          </w:p>
        </w:tc>
        <w:tc>
          <w:p>
            <w:pPr>
              <w:pStyle w:val="Normal"/>
            </w:pPr>
            <w:r>
              <w:t>567</w:t>
            </w:r>
          </w:p>
        </w:tc>
        <w:tc>
          <w:p>
            <w:pPr>
              <w:pStyle w:val="Normal"/>
            </w:pPr>
            <w:r>
              <w:t>1665</w:t>
            </w:r>
          </w:p>
        </w:tc>
      </w:tr>
      <w:tr>
        <w:tc>
          <w:p>
            <w:pPr>
              <w:pStyle w:val="Normal"/>
            </w:pPr>
            <w:r>
              <w:t>Donne, n (%)</w:t>
            </w:r>
          </w:p>
        </w:tc>
        <w:tc>
          <w:p>
            <w:pPr>
              <w:pStyle w:val="Normal"/>
            </w:pPr>
            <w:r>
              <w:t>248 (48,9%)</w:t>
            </w:r>
          </w:p>
        </w:tc>
        <w:tc>
          <w:p>
            <w:pPr>
              <w:pStyle w:val="Normal"/>
            </w:pPr>
            <w:r>
              <w:t>312 (52,8%)</w:t>
            </w:r>
          </w:p>
        </w:tc>
        <w:tc>
          <w:p>
            <w:pPr>
              <w:pStyle w:val="Normal"/>
            </w:pPr>
            <w:r>
              <w:t>265 (46,7%)</w:t>
            </w:r>
          </w:p>
        </w:tc>
        <w:tc>
          <w:p>
            <w:pPr>
              <w:pStyle w:val="Normal"/>
            </w:pPr>
            <w:r>
              <w:t>825 (49,5%)</w:t>
            </w:r>
          </w:p>
        </w:tc>
      </w:tr>
      <w:tr>
        <w:tc>
          <w:p>
            <w:pPr>
              <w:pStyle w:val="Normal"/>
            </w:pPr>
            <w:r>
              <w:t>Pazienti in iper-politerapia (≥10 farmaci ATC IV nello stesso mese per 3 mesi su 12)</w:t>
            </w:r>
          </w:p>
        </w:tc>
        <w:tc>
          <w:p>
            <w:pPr>
              <w:pStyle w:val="Normal"/>
            </w:pPr>
            <w:r>
              <w:t>39 (7,7%)</w:t>
            </w:r>
          </w:p>
        </w:tc>
        <w:tc>
          <w:p>
            <w:pPr>
              <w:pStyle w:val="Normal"/>
            </w:pPr>
            <w:r>
              <w:t>48 (8,1%)</w:t>
            </w:r>
          </w:p>
        </w:tc>
        <w:tc>
          <w:p>
            <w:pPr>
              <w:pStyle w:val="Normal"/>
            </w:pPr>
            <w:r>
              <w:t>42 (7,4%)</w:t>
            </w:r>
          </w:p>
        </w:tc>
        <w:tc>
          <w:p>
            <w:pPr>
              <w:pStyle w:val="Normal"/>
            </w:pPr>
            <w:r>
              <w:t>129 (7,7%)</w:t>
            </w:r>
          </w:p>
        </w:tc>
      </w:tr>
      <w:tr>
        <w:tc>
          <w:p>
            <w:pPr>
              <w:pStyle w:val="Normal"/>
            </w:pPr>
            <w:r>
              <w:t>Principi attivi più utilizzati (ATC V livello dispensati ≥ 3 volte in un anno)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ll 187 (36,9%)</w:t>
            </w:r>
          </w:p>
        </w:tc>
        <w:tc>
          <w:p>
            <w:pPr>
              <w:pStyle w:val="Normal"/>
            </w:pPr>
            <w:r>
              <w:t>NA 229 (38,7%)</w:t>
            </w:r>
          </w:p>
        </w:tc>
        <w:tc>
          <w:p>
            <w:pPr>
              <w:pStyle w:val="Normal"/>
            </w:pPr>
            <w:r>
              <w:t>NA 234 (41,3%)</w:t>
            </w:r>
          </w:p>
        </w:tc>
        <w:tc>
          <w:p>
            <w:pPr>
              <w:pStyle w:val="Normal"/>
            </w:pPr>
            <w:r>
              <w:t>NA 597 (35,9%)</w:t>
            </w:r>
          </w:p>
        </w:tc>
      </w:tr>
      <w:tr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cc 187 (36,9%)</w:t>
            </w:r>
          </w:p>
        </w:tc>
        <w:tc>
          <w:p>
            <w:pPr>
              <w:pStyle w:val="Normal"/>
            </w:pPr>
            <w:r>
              <w:t>ii 224 (37,9%)</w:t>
            </w:r>
          </w:p>
        </w:tc>
        <w:tc>
          <w:p>
            <w:pPr>
              <w:pStyle w:val="Normal"/>
            </w:pPr>
            <w:r>
              <w:t>rr 219 (38,6%)</w:t>
            </w:r>
          </w:p>
        </w:tc>
        <w:tc>
          <w:p>
            <w:pPr>
              <w:pStyle w:val="Normal"/>
            </w:pPr>
            <w:r>
              <w:t>gg 592 (35,6%)</w:t>
            </w:r>
          </w:p>
        </w:tc>
      </w:tr>
      <w:tr>
        <w:tc>
          <w:p>
            <w:pPr>
              <w:pStyle w:val="Normal"/>
            </w:pPr>
            <w:r>
              <w:t>3</w:t>
            </w:r>
          </w:p>
        </w:tc>
        <w:tc>
          <w:p>
            <w:pPr>
              <w:pStyle w:val="Normal"/>
            </w:pPr>
            <w:r>
              <w:t>kk 183 (36,1%)</w:t>
            </w:r>
          </w:p>
        </w:tc>
        <w:tc>
          <w:p>
            <w:pPr>
              <w:pStyle w:val="Normal"/>
            </w:pPr>
            <w:r>
              <w:t>ff 218 (36,9%)</w:t>
            </w:r>
          </w:p>
        </w:tc>
        <w:tc>
          <w:p>
            <w:pPr>
              <w:pStyle w:val="Normal"/>
            </w:pPr>
            <w:r>
              <w:t>hh 213 (37,6%)</w:t>
            </w:r>
          </w:p>
        </w:tc>
        <w:tc>
          <w:p>
            <w:pPr>
              <w:pStyle w:val="Normal"/>
            </w:pPr>
            <w:r>
              <w:t>NA 588 (35,3%)</w:t>
            </w:r>
          </w:p>
        </w:tc>
      </w:tr>
      <w:tr>
        <w:tc>
          <w:p>
            <w:pPr>
              <w:pStyle w:val="Normal"/>
            </w:pPr>
            <w:r>
              <w:t>4</w:t>
            </w:r>
          </w:p>
        </w:tc>
        <w:tc>
          <w:p>
            <w:pPr>
              <w:pStyle w:val="Normal"/>
            </w:pPr>
            <w:r>
              <w:t>NA 181 (35,7%)</w:t>
            </w:r>
          </w:p>
        </w:tc>
        <w:tc>
          <w:p>
            <w:pPr>
              <w:pStyle w:val="Normal"/>
            </w:pPr>
            <w:r>
              <w:t>qq 217 (36,7%)</w:t>
            </w:r>
          </w:p>
        </w:tc>
        <w:tc>
          <w:p>
            <w:pPr>
              <w:pStyle w:val="Normal"/>
            </w:pPr>
            <w:r>
              <w:t>ss 206 (36,3%)</w:t>
            </w:r>
          </w:p>
        </w:tc>
        <w:tc>
          <w:p>
            <w:pPr>
              <w:pStyle w:val="Normal"/>
            </w:pPr>
            <w:r>
              <w:t>rr 586 (35,2%)</w:t>
            </w:r>
          </w:p>
        </w:tc>
      </w:tr>
      <w:tr>
        <w:tc>
          <w:p>
            <w:pPr>
              <w:pStyle w:val="Normal"/>
            </w:pPr>
            <w:r>
              <w:t>5</w:t>
            </w:r>
          </w:p>
        </w:tc>
        <w:tc>
          <w:p>
            <w:pPr>
              <w:pStyle w:val="Normal"/>
            </w:pPr>
            <w:r>
              <w:t>pp 180 (35,5%)</w:t>
            </w:r>
          </w:p>
        </w:tc>
        <w:tc>
          <w:p>
            <w:pPr>
              <w:pStyle w:val="Normal"/>
            </w:pPr>
            <w:r>
              <w:t>gg 214 (36,2%)</w:t>
            </w:r>
          </w:p>
        </w:tc>
        <w:tc>
          <w:p>
            <w:pPr>
              <w:pStyle w:val="Normal"/>
            </w:pPr>
            <w:r>
              <w:t>pp 202 (35,6%)</w:t>
            </w:r>
          </w:p>
        </w:tc>
        <w:tc>
          <w:p>
            <w:pPr>
              <w:pStyle w:val="Normal"/>
            </w:pPr>
            <w:r>
              <w:t>ii 582 (35,0%)</w:t>
            </w:r>
          </w:p>
        </w:tc>
      </w:tr>
      <w:tr>
        <w:tc>
          <w:p>
            <w:pPr>
              <w:pStyle w:val="Normal"/>
            </w:pPr>
            <w:r>
              <w:t>Contesto assistenziale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RSA e/o ADI (≥1 giorno durate l’anno)</w:t>
            </w:r>
          </w:p>
        </w:tc>
        <w:tc>
          <w:p>
            <w:pPr>
              <w:pStyle w:val="Normal"/>
            </w:pPr>
            <w:r>
              <w:t>5 (1,0%)</w:t>
            </w:r>
          </w:p>
        </w:tc>
        <w:tc>
          <w:p>
            <w:pPr>
              <w:pStyle w:val="Normal"/>
            </w:pPr>
            <w:r>
              <w:t>6 (1,0%)</w:t>
            </w:r>
          </w:p>
        </w:tc>
        <w:tc>
          <w:p>
            <w:pPr>
              <w:pStyle w:val="Normal"/>
            </w:pPr>
            <w:r>
              <w:t>8 (1,4%)</w:t>
            </w:r>
          </w:p>
        </w:tc>
        <w:tc>
          <w:p>
            <w:pPr>
              <w:pStyle w:val="Normal"/>
            </w:pPr>
            <w:r>
              <w:t>19 (1,1%)</w:t>
            </w:r>
          </w:p>
        </w:tc>
      </w:tr>
      <w:tr>
        <w:tc>
          <w:p>
            <w:pPr>
              <w:pStyle w:val="Normal"/>
            </w:pPr>
            <w:r>
              <w:t>Esenzione per patologia cronica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Cardiocircolatoria</w:t>
            </w:r>
          </w:p>
        </w:tc>
        <w:tc>
          <w:p>
            <w:pPr>
              <w:pStyle w:val="Normal"/>
            </w:pPr>
            <w:r>
              <w:t>328 (64,7%)</w:t>
            </w:r>
          </w:p>
        </w:tc>
        <w:tc>
          <w:p>
            <w:pPr>
              <w:pStyle w:val="Normal"/>
            </w:pPr>
            <w:r>
              <w:t>371 (62,8%)</w:t>
            </w:r>
          </w:p>
        </w:tc>
        <w:tc>
          <w:p>
            <w:pPr>
              <w:pStyle w:val="Normal"/>
            </w:pPr>
            <w:r>
              <w:t>351 (61,9%)</w:t>
            </w:r>
          </w:p>
        </w:tc>
        <w:tc>
          <w:p>
            <w:pPr>
              <w:pStyle w:val="Normal"/>
            </w:pPr>
            <w:r>
              <w:t>1.050 (63,1%)</w:t>
            </w:r>
          </w:p>
        </w:tc>
      </w:tr>
      <w:tr>
        <w:tc>
          <w:p>
            <w:pPr>
              <w:pStyle w:val="Normal"/>
            </w:pPr>
            <w:r>
              <w:t>Reumatologica</w:t>
            </w:r>
          </w:p>
        </w:tc>
        <w:tc>
          <w:p>
            <w:pPr>
              <w:pStyle w:val="Normal"/>
            </w:pPr>
            <w:r>
              <w:t>34 (6,7%)</w:t>
            </w:r>
          </w:p>
        </w:tc>
        <w:tc>
          <w:p>
            <w:pPr>
              <w:pStyle w:val="Normal"/>
            </w:pPr>
            <w:r>
              <w:t>48 (8,1%)</w:t>
            </w:r>
          </w:p>
        </w:tc>
        <w:tc>
          <w:p>
            <w:pPr>
              <w:pStyle w:val="Normal"/>
            </w:pPr>
            <w:r>
              <w:t>56 (9,9%)</w:t>
            </w:r>
          </w:p>
        </w:tc>
        <w:tc>
          <w:p>
            <w:pPr>
              <w:pStyle w:val="Normal"/>
            </w:pPr>
            <w:r>
              <w:t>138 (8,3%)</w:t>
            </w:r>
          </w:p>
        </w:tc>
      </w:tr>
      <w:tr>
        <w:tc>
          <w:p>
            <w:pPr>
              <w:pStyle w:val="Normal"/>
            </w:pPr>
            <w:r>
              <w:t>Gastroenterologica</w:t>
            </w:r>
          </w:p>
        </w:tc>
        <w:tc>
          <w:p>
            <w:pPr>
              <w:pStyle w:val="Normal"/>
            </w:pPr>
            <w:r>
              <w:t>325 (64,1%)</w:t>
            </w:r>
          </w:p>
        </w:tc>
        <w:tc>
          <w:p>
            <w:pPr>
              <w:pStyle w:val="Normal"/>
            </w:pPr>
            <w:r>
              <w:t>390 (66,0%)</w:t>
            </w:r>
          </w:p>
        </w:tc>
        <w:tc>
          <w:p>
            <w:pPr>
              <w:pStyle w:val="Normal"/>
            </w:pPr>
            <w:r>
              <w:t>338 (59,6%)</w:t>
            </w:r>
          </w:p>
        </w:tc>
        <w:tc>
          <w:p>
            <w:pPr>
              <w:pStyle w:val="Normal"/>
            </w:pPr>
            <w:r>
              <w:t>1.053 (63,2%)</w:t>
            </w:r>
          </w:p>
        </w:tc>
      </w:tr>
      <w:tr>
        <w:tc>
          <w:p>
            <w:pPr>
              <w:pStyle w:val="Normal"/>
            </w:pPr>
            <w:r>
              <w:t>≥1 esenzione per qualsiasi malattia cronica</w:t>
            </w:r>
          </w:p>
        </w:tc>
        <w:tc>
          <w:p>
            <w:pPr>
              <w:pStyle w:val="Normal"/>
            </w:pPr>
            <w:r>
              <w:t>207 (40,8%)</w:t>
            </w:r>
          </w:p>
        </w:tc>
        <w:tc>
          <w:p>
            <w:pPr>
              <w:pStyle w:val="Normal"/>
            </w:pPr>
            <w:r>
              <w:t>281 (47,5%)</w:t>
            </w:r>
          </w:p>
        </w:tc>
        <w:tc>
          <w:p>
            <w:pPr>
              <w:pStyle w:val="Normal"/>
            </w:pPr>
            <w:r>
              <w:t>249 (43,9%)</w:t>
            </w:r>
          </w:p>
        </w:tc>
        <w:tc>
          <w:p>
            <w:pPr>
              <w:pStyle w:val="Normal"/>
            </w:pPr>
            <w:r>
              <w:t>737 (44,3%)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2026-10-07T09:51:15Z</dcterms:modified>
  <cp:category/>
</cp:coreProperties>
</file>