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Tutte</w:t>
            </w:r>
          </w:p>
        </w:tc>
      </w:tr>
      <w:tr>
        <w:tc>
          <w:p>
            <w:pPr>
              <w:pStyle w:val="Normal"/>
            </w:pPr>
            <w:r>
              <w:t>Totale</w:t>
            </w:r>
          </w:p>
        </w:tc>
        <w:tc>
          <w:p>
            <w:pPr>
              <w:pStyle w:val="Normal"/>
            </w:pPr>
            <w:r>
              <w:t>574</w:t>
            </w:r>
          </w:p>
        </w:tc>
        <w:tc>
          <w:p>
            <w:pPr>
              <w:pStyle w:val="Normal"/>
            </w:pPr>
            <w:r>
              <w:t>541</w:t>
            </w:r>
          </w:p>
        </w:tc>
        <w:tc>
          <w:p>
            <w:pPr>
              <w:pStyle w:val="Normal"/>
            </w:pPr>
            <w:r>
              <w:t>551</w:t>
            </w:r>
          </w:p>
        </w:tc>
        <w:tc>
          <w:p>
            <w:pPr>
              <w:pStyle w:val="Normal"/>
            </w:pPr>
            <w:r>
              <w:t>1666</w:t>
            </w:r>
          </w:p>
        </w:tc>
      </w:tr>
      <w:tr>
        <w:tc>
          <w:p>
            <w:pPr>
              <w:pStyle w:val="Normal"/>
            </w:pPr>
            <w:r>
              <w:t>Donne, n (%)</w:t>
            </w:r>
          </w:p>
        </w:tc>
        <w:tc>
          <w:p>
            <w:pPr>
              <w:pStyle w:val="Normal"/>
            </w:pPr>
            <w:r>
              <w:t>264 (46,0%)</w:t>
            </w:r>
          </w:p>
        </w:tc>
        <w:tc>
          <w:p>
            <w:pPr>
              <w:pStyle w:val="Normal"/>
            </w:pPr>
            <w:r>
              <w:t>259 (47,9%)</w:t>
            </w:r>
          </w:p>
        </w:tc>
        <w:tc>
          <w:p>
            <w:pPr>
              <w:pStyle w:val="Normal"/>
            </w:pPr>
            <w:r>
              <w:t>286 (51,9%)</w:t>
            </w:r>
          </w:p>
        </w:tc>
        <w:tc>
          <w:p>
            <w:pPr>
              <w:pStyle w:val="Normal"/>
            </w:pPr>
            <w:r>
              <w:t>809 (48,6%)</w:t>
            </w:r>
          </w:p>
        </w:tc>
      </w:tr>
      <w:tr>
        <w:tc>
          <w:p>
            <w:pPr>
              <w:pStyle w:val="Normal"/>
            </w:pPr>
            <w:r>
              <w:t>Pazienti in iper-politerapia (≥10 farmaci ATC IV nello stesso mese per 3 mesi su 12)</w:t>
            </w:r>
          </w:p>
        </w:tc>
        <w:tc>
          <w:p>
            <w:pPr>
              <w:pStyle w:val="Normal"/>
            </w:pPr>
            <w:r>
              <w:t>40 (7,0%)</w:t>
            </w:r>
          </w:p>
        </w:tc>
        <w:tc>
          <w:p>
            <w:pPr>
              <w:pStyle w:val="Normal"/>
            </w:pPr>
            <w:r>
              <w:t>51 (9,4%)</w:t>
            </w:r>
          </w:p>
        </w:tc>
        <w:tc>
          <w:p>
            <w:pPr>
              <w:pStyle w:val="Normal"/>
            </w:pPr>
            <w:r>
              <w:t>42 (7,6%)</w:t>
            </w:r>
          </w:p>
        </w:tc>
        <w:tc>
          <w:p>
            <w:pPr>
              <w:pStyle w:val="Normal"/>
            </w:pPr>
            <w:r>
              <w:t>133 (8,0%)</w:t>
            </w:r>
          </w:p>
        </w:tc>
      </w:tr>
      <w:tr>
        <w:tc>
          <w:p>
            <w:pPr>
              <w:pStyle w:val="Normal"/>
            </w:pPr>
            <w:r>
              <w:t>Principi attivi più utilizzati (ATC V livello dispensati ≥ 3 volte in un anno)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NA 221 (38,5%)</w:t>
            </w:r>
          </w:p>
        </w:tc>
        <w:tc>
          <w:p>
            <w:pPr>
              <w:pStyle w:val="Normal"/>
            </w:pPr>
            <w:r>
              <w:t>ll 215 (39,7%)</w:t>
            </w:r>
          </w:p>
        </w:tc>
        <w:tc>
          <w:p>
            <w:pPr>
              <w:pStyle w:val="Normal"/>
            </w:pPr>
            <w:r>
              <w:t>ii 208 (37,7%)</w:t>
            </w:r>
          </w:p>
        </w:tc>
        <w:tc>
          <w:p>
            <w:pPr>
              <w:pStyle w:val="Normal"/>
            </w:pPr>
            <w:r>
              <w:t>NA 617 (37,0%)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ff 220 (38,3%)</w:t>
            </w:r>
          </w:p>
        </w:tc>
        <w:tc>
          <w:p>
            <w:pPr>
              <w:pStyle w:val="Normal"/>
            </w:pPr>
            <w:r>
              <w:t>NA 204 (37,7%)</w:t>
            </w:r>
          </w:p>
        </w:tc>
        <w:tc>
          <w:p>
            <w:pPr>
              <w:pStyle w:val="Normal"/>
            </w:pPr>
            <w:r>
              <w:t>jj 208 (37,7%)</w:t>
            </w:r>
          </w:p>
        </w:tc>
        <w:tc>
          <w:p>
            <w:pPr>
              <w:pStyle w:val="Normal"/>
            </w:pPr>
            <w:r>
              <w:t>pp 604 (36,3%)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oo 212 (36,9%)</w:t>
            </w:r>
          </w:p>
        </w:tc>
        <w:tc>
          <w:p>
            <w:pPr>
              <w:pStyle w:val="Normal"/>
            </w:pPr>
            <w:r>
              <w:t>qq 204 (37,7%)</w:t>
            </w:r>
          </w:p>
        </w:tc>
        <w:tc>
          <w:p>
            <w:pPr>
              <w:pStyle w:val="Normal"/>
            </w:pPr>
            <w:r>
              <w:t>rr 207 (37,6%)</w:t>
            </w:r>
          </w:p>
        </w:tc>
        <w:tc>
          <w:p>
            <w:pPr>
              <w:pStyle w:val="Normal"/>
            </w:pPr>
            <w:r>
              <w:t>ii 593 (35,6%)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pp 204 (35,5%)</w:t>
            </w:r>
          </w:p>
        </w:tc>
        <w:tc>
          <w:p>
            <w:pPr>
              <w:pStyle w:val="Normal"/>
            </w:pPr>
            <w:r>
              <w:t>pp 200 (37,0%)</w:t>
            </w:r>
          </w:p>
        </w:tc>
        <w:tc>
          <w:p>
            <w:pPr>
              <w:pStyle w:val="Normal"/>
            </w:pPr>
            <w:r>
              <w:t>mm 203 (36,8%)</w:t>
            </w:r>
          </w:p>
        </w:tc>
        <w:tc>
          <w:p>
            <w:pPr>
              <w:pStyle w:val="Normal"/>
            </w:pPr>
            <w:r>
              <w:t>jj 592 (35,5%)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NA 203 (35,4%)</w:t>
            </w:r>
          </w:p>
        </w:tc>
        <w:tc>
          <w:p>
            <w:pPr>
              <w:pStyle w:val="Normal"/>
            </w:pPr>
            <w:r>
              <w:t>jj 198 (36,6%)</w:t>
            </w:r>
          </w:p>
        </w:tc>
        <w:tc>
          <w:p>
            <w:pPr>
              <w:pStyle w:val="Normal"/>
            </w:pPr>
            <w:r>
              <w:t>NA 202 (36,7%)</w:t>
            </w:r>
          </w:p>
        </w:tc>
        <w:tc>
          <w:p>
            <w:pPr>
              <w:pStyle w:val="Normal"/>
            </w:pPr>
            <w:r>
              <w:t>ff 589 (35,4%)</w:t>
            </w:r>
          </w:p>
        </w:tc>
      </w:tr>
      <w:tr>
        <w:tc>
          <w:p>
            <w:pPr>
              <w:pStyle w:val="Normal"/>
            </w:pPr>
            <w:r>
              <w:t>Contesto assistenziale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RSA e/o ADI (≥1 giorno durate l’anno)</w:t>
            </w:r>
          </w:p>
        </w:tc>
        <w:tc>
          <w:p>
            <w:pPr>
              <w:pStyle w:val="Normal"/>
            </w:pPr>
            <w:r>
              <w:t>1 (0,2%)</w:t>
            </w:r>
          </w:p>
        </w:tc>
        <w:tc>
          <w:p>
            <w:pPr>
              <w:pStyle w:val="Normal"/>
            </w:pPr>
            <w:r>
              <w:t>8 (1,5%)</w:t>
            </w:r>
          </w:p>
        </w:tc>
        <w:tc>
          <w:p>
            <w:pPr>
              <w:pStyle w:val="Normal"/>
            </w:pPr>
            <w:r>
              <w:t>4 (0,7%)</w:t>
            </w:r>
          </w:p>
        </w:tc>
        <w:tc>
          <w:p>
            <w:pPr>
              <w:pStyle w:val="Normal"/>
            </w:pPr>
            <w:r>
              <w:t>13 (0,8%)</w:t>
            </w:r>
          </w:p>
        </w:tc>
      </w:tr>
      <w:tr>
        <w:tc>
          <w:p>
            <w:pPr>
              <w:pStyle w:val="Normal"/>
            </w:pPr>
            <w:r>
              <w:t>Esenzione per patologia cronica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Cardiocircolatoria</w:t>
            </w:r>
          </w:p>
        </w:tc>
        <w:tc>
          <w:p>
            <w:pPr>
              <w:pStyle w:val="Normal"/>
            </w:pPr>
            <w:r>
              <w:t>346 (60,3%)</w:t>
            </w:r>
          </w:p>
        </w:tc>
        <w:tc>
          <w:p>
            <w:pPr>
              <w:pStyle w:val="Normal"/>
            </w:pPr>
            <w:r>
              <w:t>339 (62,7%)</w:t>
            </w:r>
          </w:p>
        </w:tc>
        <w:tc>
          <w:p>
            <w:pPr>
              <w:pStyle w:val="Normal"/>
            </w:pPr>
            <w:r>
              <w:t>338 (61,3%)</w:t>
            </w:r>
          </w:p>
        </w:tc>
        <w:tc>
          <w:p>
            <w:pPr>
              <w:pStyle w:val="Normal"/>
            </w:pPr>
            <w:r>
              <w:t>1.023 (61,4%)</w:t>
            </w:r>
          </w:p>
        </w:tc>
      </w:tr>
      <w:tr>
        <w:tc>
          <w:p>
            <w:pPr>
              <w:pStyle w:val="Normal"/>
            </w:pPr>
            <w:r>
              <w:t>Reumatologica</w:t>
            </w:r>
          </w:p>
        </w:tc>
        <w:tc>
          <w:p>
            <w:pPr>
              <w:pStyle w:val="Normal"/>
            </w:pPr>
            <w:r>
              <w:t>48 (8,4%)</w:t>
            </w:r>
          </w:p>
        </w:tc>
        <w:tc>
          <w:p>
            <w:pPr>
              <w:pStyle w:val="Normal"/>
            </w:pPr>
            <w:r>
              <w:t>61 (11,3%)</w:t>
            </w:r>
          </w:p>
        </w:tc>
        <w:tc>
          <w:p>
            <w:pPr>
              <w:pStyle w:val="Normal"/>
            </w:pPr>
            <w:r>
              <w:t>42 (7,6%)</w:t>
            </w:r>
          </w:p>
        </w:tc>
        <w:tc>
          <w:p>
            <w:pPr>
              <w:pStyle w:val="Normal"/>
            </w:pPr>
            <w:r>
              <w:t>151 (9,1%)</w:t>
            </w:r>
          </w:p>
        </w:tc>
      </w:tr>
      <w:tr>
        <w:tc>
          <w:p>
            <w:pPr>
              <w:pStyle w:val="Normal"/>
            </w:pPr>
            <w:r>
              <w:t>Gastroenterologica</w:t>
            </w:r>
          </w:p>
        </w:tc>
        <w:tc>
          <w:p>
            <w:pPr>
              <w:pStyle w:val="Normal"/>
            </w:pPr>
            <w:r>
              <w:t>373 (65,0%)</w:t>
            </w:r>
          </w:p>
        </w:tc>
        <w:tc>
          <w:p>
            <w:pPr>
              <w:pStyle w:val="Normal"/>
            </w:pPr>
            <w:r>
              <w:t>372 (68,8%)</w:t>
            </w:r>
          </w:p>
        </w:tc>
        <w:tc>
          <w:p>
            <w:pPr>
              <w:pStyle w:val="Normal"/>
            </w:pPr>
            <w:r>
              <w:t>343 (62,3%)</w:t>
            </w:r>
          </w:p>
        </w:tc>
        <w:tc>
          <w:p>
            <w:pPr>
              <w:pStyle w:val="Normal"/>
            </w:pPr>
            <w:r>
              <w:t>1.088 (65,3%)</w:t>
            </w:r>
          </w:p>
        </w:tc>
      </w:tr>
      <w:tr>
        <w:tc>
          <w:p>
            <w:pPr>
              <w:pStyle w:val="Normal"/>
            </w:pPr>
            <w:r>
              <w:t>≥1 esenzione per qualsiasi malattia cronica</w:t>
            </w:r>
          </w:p>
        </w:tc>
        <w:tc>
          <w:p>
            <w:pPr>
              <w:pStyle w:val="Normal"/>
            </w:pPr>
            <w:r>
              <w:t>252 (43,9%)</w:t>
            </w:r>
          </w:p>
        </w:tc>
        <w:tc>
          <w:p>
            <w:pPr>
              <w:pStyle w:val="Normal"/>
            </w:pPr>
            <w:r>
              <w:t>250 (46,2%)</w:t>
            </w:r>
          </w:p>
        </w:tc>
        <w:tc>
          <w:p>
            <w:pPr>
              <w:pStyle w:val="Normal"/>
            </w:pPr>
            <w:r>
              <w:t>242 (43,9%)</w:t>
            </w:r>
          </w:p>
        </w:tc>
        <w:tc>
          <w:p>
            <w:pPr>
              <w:pStyle w:val="Normal"/>
            </w:pPr>
            <w:r>
              <w:t>744 (44,7%)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2026-10-07T09:51:15Z</dcterms:modified>
  <cp:category/>
</cp:coreProperties>
</file>