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c>
          <w:p>
            <w:pPr>
              <w:pStyle w:val="Normal"/>
            </w:pPr>
            <w:r>
              <w:t>ASL</w:t>
            </w:r>
          </w:p>
        </w:tc>
        <w:tc>
          <w:p>
            <w:pPr>
              <w:pStyle w:val="Normal"/>
            </w:pPr>
            <w:r>
              <w:t>Tutte</w:t>
            </w:r>
          </w:p>
        </w:tc>
        <w:tc>
          <w:p>
            <w:pPr>
              <w:pStyle w:val="Normal"/>
            </w:pPr>
            <w:r>
              <w:t>Centro</w:t>
            </w:r>
          </w:p>
        </w:tc>
        <w:tc>
          <w:p>
            <w:pPr>
              <w:pStyle w:val="Normal"/>
            </w:pPr>
            <w:r>
              <w:t>Nord-Ovest</w:t>
            </w:r>
          </w:p>
        </w:tc>
        <w:tc>
          <w:p>
            <w:pPr>
              <w:pStyle w:val="Normal"/>
            </w:pPr>
            <w:r>
              <w:t>Sud-Est</w:t>
            </w:r>
          </w:p>
        </w:tc>
      </w:tr>
      <w:tr>
        <w:tc>
          <w:p>
            <w:pPr>
              <w:pStyle w:val="Normal"/>
            </w:pPr>
            <w:r>
              <w:t>Totale</w:t>
            </w:r>
          </w:p>
        </w:tc>
        <w:tc>
          <w:p>
            <w:pPr>
              <w:pStyle w:val="Normal"/>
            </w:pPr>
            <w:r>
              <w:t>3035</w:t>
            </w:r>
          </w:p>
        </w:tc>
        <w:tc>
          <w:p>
            <w:pPr>
              <w:pStyle w:val="Normal"/>
            </w:pPr>
            <w:r>
              <w:t>1020</w:t>
            </w:r>
          </w:p>
        </w:tc>
        <w:tc>
          <w:p>
            <w:pPr>
              <w:pStyle w:val="Normal"/>
            </w:pPr>
            <w:r>
              <w:t>960</w:t>
            </w:r>
          </w:p>
        </w:tc>
        <w:tc>
          <w:p>
            <w:pPr>
              <w:pStyle w:val="Normal"/>
            </w:pPr>
            <w:r>
              <w:t>1055</w:t>
            </w:r>
          </w:p>
        </w:tc>
      </w:tr>
      <w:tr>
        <w:tc>
          <w:p>
            <w:pPr>
              <w:pStyle w:val="Normal"/>
            </w:pPr>
            <w:r>
              <w:t>Donne, n (%)</w:t>
            </w:r>
          </w:p>
        </w:tc>
        <w:tc>
          <w:p>
            <w:pPr>
              <w:pStyle w:val="Normal"/>
            </w:pPr>
            <w:r>
              <w:t>1.507 (49,7%)</w:t>
            </w:r>
          </w:p>
        </w:tc>
        <w:tc>
          <w:p>
            <w:pPr>
              <w:pStyle w:val="Normal"/>
            </w:pPr>
            <w:r>
              <w:t>497 (48,7%)</w:t>
            </w:r>
          </w:p>
        </w:tc>
        <w:tc>
          <w:p>
            <w:pPr>
              <w:pStyle w:val="Normal"/>
            </w:pPr>
            <w:r>
              <w:t>493 (51,4%)</w:t>
            </w:r>
          </w:p>
        </w:tc>
        <w:tc>
          <w:p>
            <w:pPr>
              <w:pStyle w:val="Normal"/>
            </w:pPr>
            <w:r>
              <w:t>517 (49,0%)</w:t>
            </w:r>
          </w:p>
        </w:tc>
      </w:tr>
      <w:tr>
        <w:tc>
          <w:p>
            <w:pPr>
              <w:pStyle w:val="Normal"/>
            </w:pPr>
            <w:r>
              <w:t>40-64 anni, n (%)</w:t>
            </w:r>
          </w:p>
        </w:tc>
        <w:tc>
          <w:p>
            <w:pPr>
              <w:pStyle w:val="Normal"/>
            </w:pPr>
            <w:r>
              <w:t>1.051 (34,6%)</w:t>
            </w:r>
          </w:p>
        </w:tc>
        <w:tc>
          <w:p>
            <w:pPr>
              <w:pStyle w:val="Normal"/>
            </w:pPr>
            <w:r>
              <w:t>357 (35,0%)</w:t>
            </w:r>
          </w:p>
        </w:tc>
        <w:tc>
          <w:p>
            <w:pPr>
              <w:pStyle w:val="Normal"/>
            </w:pPr>
            <w:r>
              <w:t>342 (35,6%)</w:t>
            </w:r>
          </w:p>
        </w:tc>
        <w:tc>
          <w:p>
            <w:pPr>
              <w:pStyle w:val="Normal"/>
            </w:pPr>
            <w:r>
              <w:t>352 (33,4%)</w:t>
            </w:r>
          </w:p>
        </w:tc>
      </w:tr>
      <w:tr>
        <w:tc>
          <w:p>
            <w:pPr>
              <w:pStyle w:val="Normal"/>
            </w:pPr>
            <w:r>
              <w:t>65-84 anni, n (%)</w:t>
            </w:r>
          </w:p>
        </w:tc>
        <w:tc>
          <w:p>
            <w:pPr>
              <w:pStyle w:val="Normal"/>
            </w:pPr>
            <w:r>
              <w:t>998 (32,9%)</w:t>
            </w:r>
          </w:p>
        </w:tc>
        <w:tc>
          <w:p>
            <w:pPr>
              <w:pStyle w:val="Normal"/>
            </w:pPr>
            <w:r>
              <w:t>330 (32,4%)</w:t>
            </w:r>
          </w:p>
        </w:tc>
        <w:tc>
          <w:p>
            <w:pPr>
              <w:pStyle w:val="Normal"/>
            </w:pPr>
            <w:r>
              <w:t>306 (31,9%)</w:t>
            </w:r>
          </w:p>
        </w:tc>
        <w:tc>
          <w:p>
            <w:pPr>
              <w:pStyle w:val="Normal"/>
            </w:pPr>
            <w:r>
              <w:t>362 (34,3%)</w:t>
            </w:r>
          </w:p>
        </w:tc>
      </w:tr>
      <w:tr>
        <w:tc>
          <w:p>
            <w:pPr>
              <w:pStyle w:val="Normal"/>
            </w:pPr>
            <w:r>
              <w:t>85+, n (%)</w:t>
            </w:r>
          </w:p>
        </w:tc>
        <w:tc>
          <w:p>
            <w:pPr>
              <w:pStyle w:val="Normal"/>
            </w:pPr>
            <w:r>
              <w:t>986 (32,5%)</w:t>
            </w:r>
          </w:p>
        </w:tc>
        <w:tc>
          <w:p>
            <w:pPr>
              <w:pStyle w:val="Normal"/>
            </w:pPr>
            <w:r>
              <w:t>333 (32,6%)</w:t>
            </w:r>
          </w:p>
        </w:tc>
        <w:tc>
          <w:p>
            <w:pPr>
              <w:pStyle w:val="Normal"/>
            </w:pPr>
            <w:r>
              <w:t>312 (32,5%)</w:t>
            </w:r>
          </w:p>
        </w:tc>
        <w:tc>
          <w:p>
            <w:pPr>
              <w:pStyle w:val="Normal"/>
            </w:pPr>
            <w:r>
              <w:t>341 (32,3%)</w:t>
            </w:r>
          </w:p>
        </w:tc>
      </w:tr>
      <w:tr>
        <w:tc>
          <w:p>
            <w:pPr>
              <w:pStyle w:val="Normal"/>
            </w:pPr>
            <w:r>
              <w:t>Pazienti in iper-politerapia (≥10 farmaci ATC IV nello stesso mese per 3 mesi su 12), n (%)</w:t>
            </w:r>
          </w:p>
        </w:tc>
        <w:tc>
          <w:p>
            <w:pPr>
              <w:pStyle w:val="Normal"/>
            </w:pPr>
            <w:r>
              <w:t>2.030 (66,9%)</w:t>
            </w:r>
          </w:p>
        </w:tc>
        <w:tc>
          <w:p>
            <w:pPr>
              <w:pStyle w:val="Normal"/>
            </w:pPr>
            <w:r>
              <w:t>692 (67,8%)</w:t>
            </w:r>
          </w:p>
        </w:tc>
        <w:tc>
          <w:p>
            <w:pPr>
              <w:pStyle w:val="Normal"/>
            </w:pPr>
            <w:r>
              <w:t>638 (66,5%)</w:t>
            </w:r>
          </w:p>
        </w:tc>
        <w:tc>
          <w:p>
            <w:pPr>
              <w:pStyle w:val="Normal"/>
            </w:pPr>
            <w:r>
              <w:t>700 (66,4%)</w:t>
            </w:r>
          </w:p>
        </w:tc>
      </w:tr>
      <w:tr>
        <w:tc>
          <w:p>
            <w:pPr>
              <w:pStyle w:val="Normal"/>
            </w:pPr>
            <w:r>
              <w:t>Esenzione per patologia cronica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Cardiocircolatoria</w:t>
            </w:r>
          </w:p>
        </w:tc>
        <w:tc>
          <w:p>
            <w:pPr>
              <w:pStyle w:val="Normal"/>
            </w:pPr>
            <w:r>
              <w:t>1.485 (48,9%)</w:t>
            </w:r>
          </w:p>
        </w:tc>
        <w:tc>
          <w:p>
            <w:pPr>
              <w:pStyle w:val="Normal"/>
            </w:pPr>
            <w:r>
              <w:t>500 (49,0%)</w:t>
            </w:r>
          </w:p>
        </w:tc>
        <w:tc>
          <w:p>
            <w:pPr>
              <w:pStyle w:val="Normal"/>
            </w:pPr>
            <w:r>
              <w:t>454 (47,3%)</w:t>
            </w:r>
          </w:p>
        </w:tc>
        <w:tc>
          <w:p>
            <w:pPr>
              <w:pStyle w:val="Normal"/>
            </w:pPr>
            <w:r>
              <w:t>531 (50,3%)</w:t>
            </w:r>
          </w:p>
        </w:tc>
      </w:tr>
      <w:tr>
        <w:tc>
          <w:p>
            <w:pPr>
              <w:pStyle w:val="Normal"/>
            </w:pPr>
            <w:r>
              <w:t>Reumatologica</w:t>
            </w:r>
          </w:p>
        </w:tc>
        <w:tc>
          <w:p>
            <w:pPr>
              <w:pStyle w:val="Normal"/>
            </w:pPr>
            <w:r>
              <w:t>541 (17,8%)</w:t>
            </w:r>
          </w:p>
        </w:tc>
        <w:tc>
          <w:p>
            <w:pPr>
              <w:pStyle w:val="Normal"/>
            </w:pPr>
            <w:r>
              <w:t>171 (16,8%)</w:t>
            </w:r>
          </w:p>
        </w:tc>
        <w:tc>
          <w:p>
            <w:pPr>
              <w:pStyle w:val="Normal"/>
            </w:pPr>
            <w:r>
              <w:t>161 (16,8%)</w:t>
            </w:r>
          </w:p>
        </w:tc>
        <w:tc>
          <w:p>
            <w:pPr>
              <w:pStyle w:val="Normal"/>
            </w:pPr>
            <w:r>
              <w:t>209 (19,8%)</w:t>
            </w:r>
          </w:p>
        </w:tc>
      </w:tr>
      <w:tr>
        <w:tc>
          <w:p>
            <w:pPr>
              <w:pStyle w:val="Normal"/>
            </w:pPr>
            <w:r>
              <w:t>Gastroenterologica</w:t>
            </w:r>
          </w:p>
        </w:tc>
        <w:tc>
          <w:p>
            <w:pPr>
              <w:pStyle w:val="Normal"/>
            </w:pPr>
            <w:r>
              <w:t>1.978 (65,2%)</w:t>
            </w:r>
          </w:p>
        </w:tc>
        <w:tc>
          <w:p>
            <w:pPr>
              <w:pStyle w:val="Normal"/>
            </w:pPr>
            <w:r>
              <w:t>665 (65,2%)</w:t>
            </w:r>
          </w:p>
        </w:tc>
        <w:tc>
          <w:p>
            <w:pPr>
              <w:pStyle w:val="Normal"/>
            </w:pPr>
            <w:r>
              <w:t>640 (66,7%)</w:t>
            </w:r>
          </w:p>
        </w:tc>
        <w:tc>
          <w:p>
            <w:pPr>
              <w:pStyle w:val="Normal"/>
            </w:pPr>
            <w:r>
              <w:t>673 (63,8%)</w:t>
            </w:r>
          </w:p>
        </w:tc>
      </w:tr>
      <w:tr>
        <w:tc>
          <w:p>
            <w:pPr>
              <w:pStyle w:val="Normal"/>
            </w:pPr>
            <w:r>
              <w:t>≥1 esenzione per qualsiasi malattia cronica</w:t>
            </w:r>
          </w:p>
        </w:tc>
        <w:tc>
          <w:p>
            <w:pPr>
              <w:pStyle w:val="Normal"/>
            </w:pPr>
            <w:r>
              <w:t>1.710 (56,3%)</w:t>
            </w:r>
          </w:p>
        </w:tc>
        <w:tc>
          <w:p>
            <w:pPr>
              <w:pStyle w:val="Normal"/>
            </w:pPr>
            <w:r>
              <w:t>571 (56,0%)</w:t>
            </w:r>
          </w:p>
        </w:tc>
        <w:tc>
          <w:p>
            <w:pPr>
              <w:pStyle w:val="Normal"/>
            </w:pPr>
            <w:r>
              <w:t>549 (57,2%)</w:t>
            </w:r>
          </w:p>
        </w:tc>
        <w:tc>
          <w:p>
            <w:pPr>
              <w:pStyle w:val="Normal"/>
            </w:pPr>
            <w:r>
              <w:t>590 (55,9%)</w:t>
            </w:r>
          </w:p>
        </w:tc>
      </w:tr>
      <w:tr>
        <w:tc>
          <w:p>
            <w:pPr>
              <w:pStyle w:val="Normal"/>
            </w:pPr>
            <w:r>
              <w:t>Principi attivi più utilizzati (ATC V livello dispensati ≥ 3 volte in un anno)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1</w:t>
            </w:r>
          </w:p>
        </w:tc>
        <w:tc>
          <w:p>
            <w:pPr>
              <w:pStyle w:val="Normal"/>
            </w:pPr>
            <w:r>
              <w:t>J10JE54 201 (6,6%)</w:t>
            </w:r>
          </w:p>
        </w:tc>
        <w:tc>
          <w:p>
            <w:pPr>
              <w:pStyle w:val="Normal"/>
            </w:pPr>
            <w:r>
              <w:t>A10BD07 77 (7,5%)</w:t>
            </w:r>
          </w:p>
        </w:tc>
        <w:tc>
          <w:p>
            <w:pPr>
              <w:pStyle w:val="Normal"/>
            </w:pPr>
            <w:r>
              <w:t>B10BX16 74 (7,7%)</w:t>
            </w:r>
          </w:p>
        </w:tc>
        <w:tc>
          <w:p>
            <w:pPr>
              <w:pStyle w:val="Normal"/>
            </w:pPr>
            <w:r>
              <w:t>J10JE54 84 (8,0%)</w:t>
            </w:r>
          </w:p>
        </w:tc>
      </w:tr>
      <w:tr>
        <w:tc>
          <w:p>
            <w:pPr>
              <w:pStyle w:val="Normal"/>
            </w:pPr>
            <w:r>
              <w:t>2</w:t>
            </w:r>
          </w:p>
        </w:tc>
        <w:tc>
          <w:p>
            <w:pPr>
              <w:pStyle w:val="Normal"/>
            </w:pPr>
            <w:r>
              <w:t>B10BD19 199 (6,6%)</w:t>
            </w:r>
          </w:p>
        </w:tc>
        <w:tc>
          <w:p>
            <w:pPr>
              <w:pStyle w:val="Normal"/>
            </w:pPr>
            <w:r>
              <w:t>C10BD20 75 (7,4%)</w:t>
            </w:r>
          </w:p>
        </w:tc>
        <w:tc>
          <w:p>
            <w:pPr>
              <w:pStyle w:val="Normal"/>
            </w:pPr>
            <w:r>
              <w:t>D10DE54 68 (7,1%)</w:t>
            </w:r>
          </w:p>
        </w:tc>
        <w:tc>
          <w:p>
            <w:pPr>
              <w:pStyle w:val="Normal"/>
            </w:pPr>
            <w:r>
              <w:t>D10BD07 79 (7,5%)</w:t>
            </w:r>
          </w:p>
        </w:tc>
      </w:tr>
      <w:tr>
        <w:tc>
          <w:p>
            <w:pPr>
              <w:pStyle w:val="Normal"/>
            </w:pPr>
            <w:r>
              <w:t>3</w:t>
            </w:r>
          </w:p>
        </w:tc>
        <w:tc>
          <w:p>
            <w:pPr>
              <w:pStyle w:val="Normal"/>
            </w:pPr>
            <w:r>
              <w:t>A10BD07 194 (6,4%)</w:t>
            </w:r>
          </w:p>
        </w:tc>
        <w:tc>
          <w:p>
            <w:pPr>
              <w:pStyle w:val="Normal"/>
            </w:pPr>
            <w:r>
              <w:t>A10BD09 73 (7,2%)</w:t>
            </w:r>
          </w:p>
        </w:tc>
        <w:tc>
          <w:p>
            <w:pPr>
              <w:pStyle w:val="Normal"/>
            </w:pPr>
            <w:r>
              <w:t>C10BD23 67 (7,0%)</w:t>
            </w:r>
          </w:p>
        </w:tc>
        <w:tc>
          <w:p>
            <w:pPr>
              <w:pStyle w:val="Normal"/>
            </w:pPr>
            <w:r>
              <w:t>A10BH02 78 (7,4%)</w:t>
            </w:r>
          </w:p>
        </w:tc>
      </w:tr>
      <w:tr>
        <w:tc>
          <w:p>
            <w:pPr>
              <w:pStyle w:val="Normal"/>
            </w:pPr>
            <w:r>
              <w:t>4</w:t>
            </w:r>
          </w:p>
        </w:tc>
        <w:tc>
          <w:p>
            <w:pPr>
              <w:pStyle w:val="Normal"/>
            </w:pPr>
            <w:r>
              <w:t>B10AE54 193 (6,4%)</w:t>
            </w:r>
          </w:p>
        </w:tc>
        <w:tc>
          <w:p>
            <w:pPr>
              <w:pStyle w:val="Normal"/>
            </w:pPr>
            <w:r>
              <w:t>J10BD20 72 (7,1%)</w:t>
            </w:r>
          </w:p>
        </w:tc>
        <w:tc>
          <w:p>
            <w:pPr>
              <w:pStyle w:val="Normal"/>
            </w:pPr>
            <w:r>
              <w:t>B10BD19 67 (7,0%)</w:t>
            </w:r>
          </w:p>
        </w:tc>
        <w:tc>
          <w:p>
            <w:pPr>
              <w:pStyle w:val="Normal"/>
            </w:pPr>
            <w:r>
              <w:t>B10BD20 77 (7,3%)</w:t>
            </w:r>
          </w:p>
        </w:tc>
      </w:tr>
      <w:tr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B10BX16 193 (6,4%)</w:t>
            </w:r>
          </w:p>
        </w:tc>
        <w:tc>
          <w:p>
            <w:pPr>
              <w:pStyle w:val="Normal"/>
            </w:pPr>
            <w:r>
              <w:t>A10BD21 72 (7,1%)</w:t>
            </w:r>
          </w:p>
        </w:tc>
        <w:tc>
          <w:p>
            <w:pPr>
              <w:pStyle w:val="Normal"/>
            </w:pPr>
            <w:r>
              <w:t>C10BD11 66 (6,9%)</w:t>
            </w:r>
          </w:p>
        </w:tc>
        <w:tc>
          <w:p>
            <w:pPr>
              <w:pStyle w:val="Normal"/>
            </w:pPr>
            <w:r>
              <w:t>B10BD15 73 (6,9%)</w:t>
            </w:r>
          </w:p>
        </w:tc>
      </w:tr>
      <w:tr>
        <w:tc>
          <w:p>
            <w:pPr>
              <w:pStyle w:val="Normal"/>
            </w:pPr>
            <w:r>
              <w:t>Combinazioni ATC IV livello (*)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1</w:t>
            </w:r>
          </w:p>
        </w:tc>
        <w:tc>
          <w:p>
            <w:pPr>
              <w:pStyle w:val="Normal"/>
            </w:pPr>
            <w:r>
              <w:t>A10BD B10BD C10BD J10BD M10BD 15 (0,5%)</w:t>
            </w:r>
          </w:p>
        </w:tc>
        <w:tc>
          <w:p>
            <w:pPr>
              <w:pStyle w:val="Normal"/>
            </w:pPr>
            <w:r>
              <w:t>A10BD B10BD C10BD J10BD M10BD 4 (0,4%)</w:t>
            </w:r>
          </w:p>
        </w:tc>
        <w:tc>
          <w:p>
            <w:pPr>
              <w:pStyle w:val="Normal"/>
            </w:pPr>
            <w:r>
              <w:t>A10BD B10BD C10BD D10BD J10BD 6 (0,6%)</w:t>
            </w:r>
          </w:p>
        </w:tc>
        <w:tc>
          <w:p>
            <w:pPr>
              <w:pStyle w:val="Normal"/>
            </w:pPr>
            <w:r>
              <w:t>A10BD B10BD C10BD J10BD M10BD 7 (0,7%)</w:t>
            </w:r>
          </w:p>
        </w:tc>
      </w:tr>
      <w:tr>
        <w:tc>
          <w:p>
            <w:pPr>
              <w:pStyle w:val="Normal"/>
            </w:pPr>
            <w:r>
              <w:t>2</w:t>
            </w:r>
          </w:p>
        </w:tc>
        <w:tc>
          <w:p>
            <w:pPr>
              <w:pStyle w:val="Normal"/>
            </w:pPr>
            <w:r>
              <w:t>A10BD B10BD C10BD D10BD J10BD 12 (0,4%)</w:t>
            </w:r>
          </w:p>
        </w:tc>
        <w:tc>
          <w:p>
            <w:pPr>
              <w:pStyle w:val="Normal"/>
            </w:pPr>
            <w:r>
              <w:t>A10BD B10BD C10BD D10BD J10BD 4 (0,4%)</w:t>
            </w:r>
          </w:p>
        </w:tc>
        <w:tc>
          <w:p>
            <w:pPr>
              <w:pStyle w:val="Normal"/>
            </w:pPr>
            <w:r>
              <w:t>A10BD C10BD D10BD J10BD M10BD 4 (0,4%)</w:t>
            </w:r>
          </w:p>
        </w:tc>
        <w:tc>
          <w:p>
            <w:pPr>
              <w:pStyle w:val="Normal"/>
            </w:pPr>
            <w:r>
              <w:t>A10BD B10BD C10BD D10BD J10BD M10BD 5 (0,5%)</w:t>
            </w:r>
          </w:p>
        </w:tc>
      </w:tr>
      <w:tr>
        <w:tc>
          <w:p>
            <w:pPr>
              <w:pStyle w:val="Normal"/>
            </w:pPr>
            <w:r>
              <w:t>3</w:t>
            </w:r>
          </w:p>
        </w:tc>
        <w:tc>
          <w:p>
            <w:pPr>
              <w:pStyle w:val="Normal"/>
            </w:pPr>
            <w:r>
              <w:t>A10BD B10BD C10BD D10BD J10BD M10BD 10 (0,3%)</w:t>
            </w:r>
          </w:p>
        </w:tc>
        <w:tc>
          <w:p>
            <w:pPr>
              <w:pStyle w:val="Normal"/>
            </w:pPr>
            <w:r>
              <w:t>A10BD B10BD C10BD D10BD J10BD M10BD M10ME 2 (0,2%)</w:t>
            </w:r>
          </w:p>
        </w:tc>
        <w:tc>
          <w:p>
            <w:pPr>
              <w:pStyle w:val="Normal"/>
            </w:pPr>
            <w:r>
              <w:t>A10BD B10BD C10BD J10BD M10BD 4 (0,4%)</w:t>
            </w:r>
          </w:p>
        </w:tc>
        <w:tc>
          <w:p>
            <w:pPr>
              <w:pStyle w:val="Normal"/>
            </w:pPr>
            <w:r>
              <w:t>B10BD C10BD D10BD J10BD M10BD 3 (0,3%)</w:t>
            </w:r>
          </w:p>
        </w:tc>
      </w:tr>
      <w:tr>
        <w:tc>
          <w:p>
            <w:pPr>
              <w:pStyle w:val="Normal"/>
            </w:pPr>
            <w:r>
              <w:t>4</w:t>
            </w:r>
          </w:p>
        </w:tc>
        <w:tc>
          <w:p>
            <w:pPr>
              <w:pStyle w:val="Normal"/>
            </w:pPr>
            <w:r>
              <w:t>B10BD C10BD D10BD J10BD M10BD 7 (0,2%)</w:t>
            </w:r>
          </w:p>
        </w:tc>
        <w:tc>
          <w:p>
            <w:pPr>
              <w:pStyle w:val="Normal"/>
            </w:pPr>
            <w:r>
              <w:t>A10BD B10BD C10BD C10BK J10BD M10BD 2 (0,2%)</w:t>
            </w:r>
          </w:p>
        </w:tc>
        <w:tc>
          <w:p>
            <w:pPr>
              <w:pStyle w:val="Normal"/>
            </w:pPr>
            <w:r>
              <w:t>B10BD C10BD D10BD J10BD M10BD 4 (0,4%)</w:t>
            </w:r>
          </w:p>
        </w:tc>
        <w:tc>
          <w:p>
            <w:pPr>
              <w:pStyle w:val="Normal"/>
            </w:pPr>
            <w:r>
              <w:t>A10BD B10BD C10BD D10BD M10BD 3 (0,3%)</w:t>
            </w:r>
          </w:p>
        </w:tc>
      </w:tr>
      <w:tr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A10BD C10BD D10BD J10BD M10BD 7 (0,2%)</w:t>
            </w:r>
          </w:p>
        </w:tc>
        <w:tc>
          <w:p>
            <w:pPr>
              <w:pStyle w:val="Normal"/>
            </w:pPr>
            <w:r>
              <w:t>A10BD B10BD C10BD D10BD D10DE M10BD 2 (0,2%)</w:t>
            </w:r>
          </w:p>
        </w:tc>
        <w:tc>
          <w:p>
            <w:pPr>
              <w:pStyle w:val="Normal"/>
            </w:pPr>
            <w:r>
              <w:t>A10AE B10BD C10BD D10BD J10BD M10BD 3 (0,3%)</w:t>
            </w:r>
          </w:p>
        </w:tc>
        <w:tc>
          <w:p>
            <w:pPr>
              <w:pStyle w:val="Normal"/>
            </w:pPr>
            <w:r>
              <w:t>B10BJ C10BD D10BD J10BD M10BD 2 (0,2%)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2026-09-24T16:09:23Z</dcterms:modified>
  <cp:category/>
</cp:coreProperties>
</file>