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c>
          <w:p>
            <w:pPr>
              <w:pStyle w:val="Normal"/>
            </w:pPr>
            <w:r>
              <w:t>ASL</w:t>
            </w:r>
          </w:p>
        </w:tc>
        <w:tc>
          <w:p>
            <w:pPr>
              <w:pStyle w:val="Normal"/>
            </w:pPr>
            <w:r>
              <w:t>Tutte</w:t>
            </w:r>
          </w:p>
        </w:tc>
        <w:tc>
          <w:p>
            <w:pPr>
              <w:pStyle w:val="Normal"/>
            </w:pPr>
            <w:r>
              <w:t>Centro</w:t>
            </w:r>
          </w:p>
        </w:tc>
        <w:tc>
          <w:p>
            <w:pPr>
              <w:pStyle w:val="Normal"/>
            </w:pPr>
            <w:r>
              <w:t>Nord-Ovest</w:t>
            </w:r>
          </w:p>
        </w:tc>
        <w:tc>
          <w:p>
            <w:pPr>
              <w:pStyle w:val="Normal"/>
            </w:pPr>
            <w:r>
              <w:t>Sud-Est</w:t>
            </w:r>
          </w:p>
        </w:tc>
      </w:tr>
      <w:tr>
        <w:tc>
          <w:p>
            <w:pPr>
              <w:pStyle w:val="Normal"/>
            </w:pPr>
            <w:r>
              <w:t>Totale</w:t>
            </w:r>
          </w:p>
        </w:tc>
        <w:tc>
          <w:p>
            <w:pPr>
              <w:pStyle w:val="Normal"/>
            </w:pPr>
            <w:r>
              <w:t>903</w:t>
            </w:r>
          </w:p>
        </w:tc>
        <w:tc>
          <w:p>
            <w:pPr>
              <w:pStyle w:val="Normal"/>
            </w:pPr>
            <w:r>
              <w:t>297</w:t>
            </w:r>
          </w:p>
        </w:tc>
        <w:tc>
          <w:p>
            <w:pPr>
              <w:pStyle w:val="Normal"/>
            </w:pPr>
            <w:r>
              <w:t>280</w:t>
            </w:r>
          </w:p>
        </w:tc>
        <w:tc>
          <w:p>
            <w:pPr>
              <w:pStyle w:val="Normal"/>
            </w:pPr>
            <w:r>
              <w:t>326</w:t>
            </w:r>
          </w:p>
        </w:tc>
      </w:tr>
      <w:tr>
        <w:tc>
          <w:p>
            <w:pPr>
              <w:pStyle w:val="Normal"/>
            </w:pPr>
            <w:r>
              <w:t>Donne, n (%)</w:t>
            </w:r>
          </w:p>
        </w:tc>
        <w:tc>
          <w:p>
            <w:pPr>
              <w:pStyle w:val="Normal"/>
            </w:pPr>
            <w:r>
              <w:t>425 (47,1%)</w:t>
            </w:r>
          </w:p>
        </w:tc>
        <w:tc>
          <w:p>
            <w:pPr>
              <w:pStyle w:val="Normal"/>
            </w:pPr>
            <w:r>
              <w:t>137 (46,1%)</w:t>
            </w:r>
          </w:p>
        </w:tc>
        <w:tc>
          <w:p>
            <w:pPr>
              <w:pStyle w:val="Normal"/>
            </w:pPr>
            <w:r>
              <w:t>130 (46,4%)</w:t>
            </w:r>
          </w:p>
        </w:tc>
        <w:tc>
          <w:p>
            <w:pPr>
              <w:pStyle w:val="Normal"/>
            </w:pPr>
            <w:r>
              <w:t>158 (48,5%)</w:t>
            </w:r>
          </w:p>
        </w:tc>
      </w:tr>
      <w:tr>
        <w:tc>
          <w:p>
            <w:pPr>
              <w:pStyle w:val="Normal"/>
            </w:pPr>
            <w:r>
              <w:t>40-64 anni, n (%)</w:t>
            </w:r>
          </w:p>
        </w:tc>
        <w:tc>
          <w:p>
            <w:pPr>
              <w:pStyle w:val="Normal"/>
            </w:pPr>
            <w:r>
              <w:t>297 (32,9%)</w:t>
            </w:r>
          </w:p>
        </w:tc>
        <w:tc>
          <w:p>
            <w:pPr>
              <w:pStyle w:val="Normal"/>
            </w:pPr>
            <w:r>
              <w:t>106 (35,7%)</w:t>
            </w:r>
          </w:p>
        </w:tc>
        <w:tc>
          <w:p>
            <w:pPr>
              <w:pStyle w:val="Normal"/>
            </w:pPr>
            <w:r>
              <w:t>89 (31,8%)</w:t>
            </w:r>
          </w:p>
        </w:tc>
        <w:tc>
          <w:p>
            <w:pPr>
              <w:pStyle w:val="Normal"/>
            </w:pPr>
            <w:r>
              <w:t>102 (31,3%)</w:t>
            </w:r>
          </w:p>
        </w:tc>
      </w:tr>
      <w:tr>
        <w:tc>
          <w:p>
            <w:pPr>
              <w:pStyle w:val="Normal"/>
            </w:pPr>
            <w:r>
              <w:t>65-84 anni, n (%)</w:t>
            </w:r>
          </w:p>
        </w:tc>
        <w:tc>
          <w:p>
            <w:pPr>
              <w:pStyle w:val="Normal"/>
            </w:pPr>
            <w:r>
              <w:t>291 (32,2%)</w:t>
            </w:r>
          </w:p>
        </w:tc>
        <w:tc>
          <w:p>
            <w:pPr>
              <w:pStyle w:val="Normal"/>
            </w:pPr>
            <w:r>
              <w:t>83 (27,9%)</w:t>
            </w:r>
          </w:p>
        </w:tc>
        <w:tc>
          <w:p>
            <w:pPr>
              <w:pStyle w:val="Normal"/>
            </w:pPr>
            <w:r>
              <w:t>103 (36,8%)</w:t>
            </w:r>
          </w:p>
        </w:tc>
        <w:tc>
          <w:p>
            <w:pPr>
              <w:pStyle w:val="Normal"/>
            </w:pPr>
            <w:r>
              <w:t>105 (32,2%)</w:t>
            </w:r>
          </w:p>
        </w:tc>
      </w:tr>
      <w:tr>
        <w:tc>
          <w:p>
            <w:pPr>
              <w:pStyle w:val="Normal"/>
            </w:pPr>
            <w:r>
              <w:t>85+, n (%)</w:t>
            </w:r>
          </w:p>
        </w:tc>
        <w:tc>
          <w:p>
            <w:pPr>
              <w:pStyle w:val="Normal"/>
            </w:pPr>
            <w:r>
              <w:t>315 (34,9%)</w:t>
            </w:r>
          </w:p>
        </w:tc>
        <w:tc>
          <w:p>
            <w:pPr>
              <w:pStyle w:val="Normal"/>
            </w:pPr>
            <w:r>
              <w:t>108 (36,4%)</w:t>
            </w:r>
          </w:p>
        </w:tc>
        <w:tc>
          <w:p>
            <w:pPr>
              <w:pStyle w:val="Normal"/>
            </w:pPr>
            <w:r>
              <w:t>88 (31,4%)</w:t>
            </w:r>
          </w:p>
        </w:tc>
        <w:tc>
          <w:p>
            <w:pPr>
              <w:pStyle w:val="Normal"/>
            </w:pPr>
            <w:r>
              <w:t>119 (36,5%)</w:t>
            </w:r>
          </w:p>
        </w:tc>
      </w:tr>
      <w:tr>
        <w:tc>
          <w:p>
            <w:pPr>
              <w:pStyle w:val="Normal"/>
            </w:pPr>
            <w:r>
              <w:t>Pazienti in iper-politerapia (≥10 farmaci ATC IV nello stesso mese per 3 mesi su 12)</w:t>
            </w:r>
          </w:p>
        </w:tc>
        <w:tc>
          <w:p>
            <w:pPr>
              <w:pStyle w:val="Normal"/>
            </w:pPr>
            <w:r>
              <w:t>607 (67,2%)</w:t>
            </w:r>
          </w:p>
        </w:tc>
        <w:tc>
          <w:p>
            <w:pPr>
              <w:pStyle w:val="Normal"/>
            </w:pPr>
            <w:r>
              <w:t>202 (68,0%)</w:t>
            </w:r>
          </w:p>
        </w:tc>
        <w:tc>
          <w:p>
            <w:pPr>
              <w:pStyle w:val="Normal"/>
            </w:pPr>
            <w:r>
              <w:t>197 (70,4%)</w:t>
            </w:r>
          </w:p>
        </w:tc>
        <w:tc>
          <w:p>
            <w:pPr>
              <w:pStyle w:val="Normal"/>
            </w:pPr>
            <w:r>
              <w:t>208 (63,8%)</w:t>
            </w:r>
          </w:p>
        </w:tc>
      </w:tr>
      <w:tr>
        <w:tc>
          <w:p>
            <w:pPr>
              <w:pStyle w:val="Normal"/>
            </w:pPr>
            <w:r>
              <w:t>Principi attivi più utilizzati (ATC V livello dispensati ≥ 3 volte in un anno)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J10JE54 75 (8,3%)</w:t>
            </w:r>
          </w:p>
        </w:tc>
        <w:tc>
          <w:p>
            <w:pPr>
              <w:pStyle w:val="Normal"/>
            </w:pPr>
            <w:r>
              <w:t>M10ME56 26 (8,8%)</w:t>
            </w:r>
          </w:p>
        </w:tc>
        <w:tc>
          <w:p>
            <w:pPr>
              <w:pStyle w:val="Normal"/>
            </w:pPr>
            <w:r>
              <w:t>J10JE56 25 (8,9%)</w:t>
            </w:r>
          </w:p>
        </w:tc>
        <w:tc>
          <w:p>
            <w:pPr>
              <w:pStyle w:val="Normal"/>
            </w:pPr>
            <w:r>
              <w:t>B10BD21 30 (9,2%)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M10ME56 69 (7,6%)</w:t>
            </w:r>
          </w:p>
        </w:tc>
        <w:tc>
          <w:p>
            <w:pPr>
              <w:pStyle w:val="Normal"/>
            </w:pPr>
            <w:r>
              <w:t>B10BH02 26 (8,8%)</w:t>
            </w:r>
          </w:p>
        </w:tc>
        <w:tc>
          <w:p>
            <w:pPr>
              <w:pStyle w:val="Normal"/>
            </w:pPr>
            <w:r>
              <w:t>J10JE54 25 (8,9%)</w:t>
            </w:r>
          </w:p>
        </w:tc>
        <w:tc>
          <w:p>
            <w:pPr>
              <w:pStyle w:val="Normal"/>
            </w:pPr>
            <w:r>
              <w:t>B10BD07 28 (8,6%)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M10BD24 66 (7,3%)</w:t>
            </w:r>
          </w:p>
        </w:tc>
        <w:tc>
          <w:p>
            <w:pPr>
              <w:pStyle w:val="Normal"/>
            </w:pPr>
            <w:r>
              <w:t>C10BK02 26 (8,8%)</w:t>
            </w:r>
          </w:p>
        </w:tc>
        <w:tc>
          <w:p>
            <w:pPr>
              <w:pStyle w:val="Normal"/>
            </w:pPr>
            <w:r>
              <w:t>M10ME56 25 (8,9%)</w:t>
            </w:r>
          </w:p>
        </w:tc>
        <w:tc>
          <w:p>
            <w:pPr>
              <w:pStyle w:val="Normal"/>
            </w:pPr>
            <w:r>
              <w:t>C10BD10 28 (8,6%)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C10BD24 64 (7,1%)</w:t>
            </w:r>
          </w:p>
        </w:tc>
        <w:tc>
          <w:p>
            <w:pPr>
              <w:pStyle w:val="Normal"/>
            </w:pPr>
            <w:r>
              <w:t>A10BD10 24 (8,1%)</w:t>
            </w:r>
          </w:p>
        </w:tc>
        <w:tc>
          <w:p>
            <w:pPr>
              <w:pStyle w:val="Normal"/>
            </w:pPr>
            <w:r>
              <w:t>D10BD19 24 (8,6%)</w:t>
            </w:r>
          </w:p>
        </w:tc>
        <w:tc>
          <w:p>
            <w:pPr>
              <w:pStyle w:val="Normal"/>
            </w:pPr>
            <w:r>
              <w:t>J10JE54 28 (8,6%)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B10BD07 63 (7,0%)</w:t>
            </w:r>
          </w:p>
        </w:tc>
        <w:tc>
          <w:p>
            <w:pPr>
              <w:pStyle w:val="Normal"/>
            </w:pPr>
            <w:r>
              <w:t>A10BD20 24 (8,1%)</w:t>
            </w:r>
          </w:p>
        </w:tc>
        <w:tc>
          <w:p>
            <w:pPr>
              <w:pStyle w:val="Normal"/>
            </w:pPr>
            <w:r>
              <w:t>M10BD24 24 (8,6%)</w:t>
            </w:r>
          </w:p>
        </w:tc>
        <w:tc>
          <w:p>
            <w:pPr>
              <w:pStyle w:val="Normal"/>
            </w:pPr>
            <w:r>
              <w:t>C10BD24 28 (8,6%)</w:t>
            </w:r>
          </w:p>
        </w:tc>
      </w:tr>
      <w:tr>
        <w:tc>
          <w:p>
            <w:pPr>
              <w:pStyle w:val="Normal"/>
            </w:pPr>
            <w:r>
              <w:t>Combinazioni ATC IV livello (*)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1</w:t>
            </w:r>
          </w:p>
        </w:tc>
        <w:tc>
          <w:p>
            <w:pPr>
              <w:pStyle w:val="Normal"/>
            </w:pPr>
            <w:r>
              <w:t>A10BD B10BD C10BD D10BD J10BD M10BD 5 (0,6%)</w:t>
            </w:r>
          </w:p>
        </w:tc>
        <w:tc>
          <w:p>
            <w:pPr>
              <w:pStyle w:val="Normal"/>
            </w:pPr>
            <w:r>
              <w:t>A10BD B10BD C10BD J10BD M10BD 2 (0,7%)</w:t>
            </w:r>
          </w:p>
        </w:tc>
        <w:tc>
          <w:p>
            <w:pPr>
              <w:pStyle w:val="Normal"/>
            </w:pPr>
            <w:r>
              <w:t>A10BD B10BD C10BD D10BD J10BD 3 (1,1%)</w:t>
            </w:r>
          </w:p>
        </w:tc>
        <w:tc>
          <w:p>
            <w:pPr>
              <w:pStyle w:val="Normal"/>
            </w:pPr>
            <w:r>
              <w:t>A10BD B10BD C10BD D10BD J10BD M10BD 3 (0,9%)</w:t>
            </w:r>
          </w:p>
        </w:tc>
      </w:tr>
      <w:tr>
        <w:tc>
          <w:p>
            <w:pPr>
              <w:pStyle w:val="Normal"/>
            </w:pPr>
            <w:r>
              <w:t>2</w:t>
            </w:r>
          </w:p>
        </w:tc>
        <w:tc>
          <w:p>
            <w:pPr>
              <w:pStyle w:val="Normal"/>
            </w:pPr>
            <w:r>
              <w:t>A10BD B10BD C10BD D10BD J10BD 4 (0,4%)</w:t>
            </w:r>
          </w:p>
        </w:tc>
        <w:tc>
          <w:p>
            <w:pPr>
              <w:pStyle w:val="Normal"/>
            </w:pPr>
            <w:r>
              <w:t>A10BD B10BD B10BX C10BD C10BJ D10BD J10BJ M10BD 1 (0,3%)</w:t>
            </w:r>
          </w:p>
        </w:tc>
        <w:tc>
          <w:p>
            <w:pPr>
              <w:pStyle w:val="Normal"/>
            </w:pPr>
            <w:r>
              <w:t>B10BD C10BD D10BD J10BD M10BD 2 (0,7%)</w:t>
            </w:r>
          </w:p>
        </w:tc>
        <w:tc>
          <w:p>
            <w:pPr>
              <w:pStyle w:val="Normal"/>
            </w:pPr>
            <w:r>
              <w:t>A10BD C10BD D10BX J10BD M10BD 2 (0,6%)</w:t>
            </w:r>
          </w:p>
        </w:tc>
      </w:tr>
      <w:tr>
        <w:tc>
          <w:p>
            <w:pPr>
              <w:pStyle w:val="Normal"/>
            </w:pPr>
            <w:r>
              <w:t>3</w:t>
            </w:r>
          </w:p>
        </w:tc>
        <w:tc>
          <w:p>
            <w:pPr>
              <w:pStyle w:val="Normal"/>
            </w:pPr>
            <w:r>
              <w:t>A10BD B10BD C10BD J10BD M10BD 3 (0,3%)</w:t>
            </w:r>
          </w:p>
        </w:tc>
        <w:tc>
          <w:p>
            <w:pPr>
              <w:pStyle w:val="Normal"/>
            </w:pPr>
            <w:r>
              <w:t>A10BD A10BJ B10BE M10BX M10ME 1 (0,3%)</w:t>
            </w:r>
          </w:p>
        </w:tc>
        <w:tc>
          <w:p>
            <w:pPr>
              <w:pStyle w:val="Normal"/>
            </w:pPr>
            <w:r>
              <w:t>A10BD B10BD D10BD J10BD M10BD 2 (0,7%)</w:t>
            </w:r>
          </w:p>
        </w:tc>
        <w:tc>
          <w:p>
            <w:pPr>
              <w:pStyle w:val="Normal"/>
            </w:pPr>
            <w:r>
              <w:t>A10BD B10BD B10BH C10BD D10BK M10BK M10BX 1 (0,3%)</w:t>
            </w:r>
          </w:p>
        </w:tc>
      </w:tr>
      <w:tr>
        <w:tc>
          <w:p>
            <w:pPr>
              <w:pStyle w:val="Normal"/>
            </w:pPr>
            <w:r>
              <w:t>4</w:t>
            </w:r>
          </w:p>
        </w:tc>
        <w:tc>
          <w:p>
            <w:pPr>
              <w:pStyle w:val="Normal"/>
            </w:pPr>
            <w:r>
              <w:t>A10BD B10BD C10BD J10JE M10BD 2 (0,2%)</w:t>
            </w:r>
          </w:p>
        </w:tc>
        <w:tc>
          <w:p>
            <w:pPr>
              <w:pStyle w:val="Normal"/>
            </w:pPr>
            <w:r>
              <w:t>A10BD A10BH A10BX B10BD B10BK C10BD D10BD J10BD J10JE 1 (0,3%)</w:t>
            </w:r>
          </w:p>
        </w:tc>
        <w:tc>
          <w:p>
            <w:pPr>
              <w:pStyle w:val="Normal"/>
            </w:pPr>
            <w:r>
              <w:t>A10BD B10BD B10BE B10BJ C10BD D10BD D10DE 1 (0,4%)</w:t>
            </w:r>
          </w:p>
        </w:tc>
        <w:tc>
          <w:p>
            <w:pPr>
              <w:pStyle w:val="Normal"/>
            </w:pPr>
            <w:r>
              <w:t>A10BD B10BJ D10BD D10BK M10ME 1 (0,3%)</w:t>
            </w:r>
          </w:p>
        </w:tc>
      </w:tr>
      <w:tr>
        <w:tc>
          <w:p>
            <w:pPr>
              <w:pStyle w:val="Normal"/>
            </w:pPr>
            <w:r>
              <w:t>5</w:t>
            </w:r>
          </w:p>
        </w:tc>
        <w:tc>
          <w:p>
            <w:pPr>
              <w:pStyle w:val="Normal"/>
            </w:pPr>
            <w:r>
              <w:t>A10BD A10BH B10BD C10BD D10BD 2 (0,2%)</w:t>
            </w:r>
          </w:p>
        </w:tc>
        <w:tc>
          <w:p>
            <w:pPr>
              <w:pStyle w:val="Normal"/>
            </w:pPr>
            <w:r>
              <w:t>A10BD C10BD J10BD M10BD M10ME 1 (0,3%)</w:t>
            </w:r>
          </w:p>
        </w:tc>
        <w:tc>
          <w:p>
            <w:pPr>
              <w:pStyle w:val="Normal"/>
            </w:pPr>
            <w:r>
              <w:t>A10BH B10BD C10CE D10BD J10BD 1 (0,4%)</w:t>
            </w:r>
          </w:p>
        </w:tc>
        <w:tc>
          <w:p>
            <w:pPr>
              <w:pStyle w:val="Normal"/>
            </w:pPr>
            <w:r>
              <w:t>A10BD C10BD J10BJ M10BD M10ME 1 (0,3%)</w:t>
            </w:r>
          </w:p>
        </w:tc>
      </w:tr>
    </w:tbl>
    <w:p>
      <w:pPr>
        <w:sectPr>
          <w:pgMar w:header="708" w:bottom="1417" w:top="1417" w:right="1417" w:left="1417" w:footer="708" w:gutter="0"/>
          <w:pgSz w:h="16838" w:w="11906" w:orient="portrait"/>
          <w:type w:val="continuous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2026-09-24T16:19:49Z</dcterms:modified>
  <cp:category/>
</cp:coreProperties>
</file>