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8"/>
        </w:rPr>
        <w:t>AI-Driven Sentiment Analysis of Stakeholder</w:t>
        <w:br/>
        <w:t>Feedback for the MCA eConsultation Module:</w:t>
        <w:br/>
        <w:t>A Multi-Model Transformer Approach</w:t>
      </w:r>
    </w:p>
    <w:p>
      <w:pPr>
        <w:jc w:val="center"/>
      </w:pPr>
      <w:r>
        <w:rPr>
          <w:rFonts w:ascii="Times New Roman" w:hAnsi="Times New Roman"/>
          <w:b/>
          <w:sz w:val="22"/>
        </w:rPr>
        <w:t>[Author Name 1], [Author Name 2], [Author Name 3]</w:t>
      </w:r>
    </w:p>
    <w:p>
      <w:pPr>
        <w:spacing w:after="320"/>
        <w:jc w:val="center"/>
      </w:pPr>
      <w:r>
        <w:rPr>
          <w:rFonts w:ascii="Times New Roman" w:hAnsi="Times New Roman"/>
          <w:i/>
          <w:sz w:val="20"/>
        </w:rPr>
        <w:t>[Department], [University/Institution], [City, Country]</w:t>
        <w:br/>
        <w:t>{author1, author2}@institution.edu</w:t>
      </w:r>
    </w:p>
    <w:p>
      <w:pPr>
        <w:spacing w:after="120"/>
        <w:jc w:val="both"/>
      </w:pPr>
      <w:r>
        <w:rPr>
          <w:rFonts w:ascii="Times New Roman" w:hAnsi="Times New Roman"/>
          <w:b/>
          <w:i/>
          <w:sz w:val="18"/>
        </w:rPr>
        <w:t xml:space="preserve">Abstract— </w:t>
      </w:r>
      <w:r>
        <w:rPr>
          <w:rFonts w:ascii="Times New Roman" w:hAnsi="Times New Roman"/>
          <w:i/>
          <w:sz w:val="18"/>
        </w:rPr>
        <w:t>The Ministry of Corporate Affairs (MCA), Government of India, receives substantial volumes of stakeholder feedback through its eConsultation module when proposed amendments to corporate legislation are published for public comment. Manual analysis of these submissions is labor-intensive and risks overlooking critical observations. This paper presents a production-grade, AI-driven sentiment analysis system employing a multi-model transformer architecture. The system combines RoBERTa for three-class sentiment classification (positive, neutral, negative), BART-large-CNN for abstractive summarization, and frequency-based word cloud generation with domain-specific filtering. Key contributions include: (1) a chunk-based summarization algorithm that overcomes BART's token limit for long documents, (2) attention-based explainability providing transparency in sentiment predictions, (3) a comprehensive evaluation pipeline with GPU-accelerated inference, and (4) a full-stack web application with interactive dashboards. Experimental results demonstrate classification accuracy of 87.5% with macro F1-score of 0.857, processing over 1,000 comments in under 30 seconds. The system reduces manual analysis effort by an estimated 85% while ensuring no stakeholder observation is overlooked through uncertainty-flagged predictions requiring human review.</w:t>
      </w:r>
    </w:p>
    <w:p>
      <w:pPr>
        <w:spacing w:after="240"/>
      </w:pPr>
      <w:r>
        <w:rPr>
          <w:rFonts w:ascii="Times New Roman" w:hAnsi="Times New Roman"/>
          <w:b/>
          <w:i/>
          <w:sz w:val="18"/>
        </w:rPr>
        <w:t>Keywords—</w:t>
      </w:r>
      <w:r>
        <w:rPr>
          <w:rFonts w:ascii="Times New Roman" w:hAnsi="Times New Roman"/>
          <w:sz w:val="18"/>
        </w:rPr>
        <w:t>Sentiment Analysis; Natural Language Processing; E-Governance; RoBERTa; BART; Explainable AI; Transformer Models; Policy Feedback; Word Cloud; Microservice Architecture</w:t>
      </w:r>
    </w:p>
    <w:p>
      <w:pPr>
        <w:spacing w:before="240" w:after="120"/>
        <w:jc w:val="center"/>
      </w:pPr>
      <w:r>
        <w:rPr>
          <w:rFonts w:ascii="Times New Roman" w:hAnsi="Times New Roman"/>
          <w:b/>
          <w:sz w:val="20"/>
        </w:rPr>
        <w:t>I. INTRODUCTION</w:t>
      </w:r>
    </w:p>
    <w:p>
      <w:pPr>
        <w:spacing w:after="80"/>
        <w:ind w:firstLine="283"/>
        <w:jc w:val="both"/>
      </w:pPr>
      <w:r>
        <w:rPr>
          <w:rFonts w:ascii="Times New Roman" w:hAnsi="Times New Roman"/>
          <w:sz w:val="20"/>
        </w:rPr>
        <w:t>The eConsultation module of the Ministry of Corporate Affairs (MCA) is an online platform where proposed amendments and draft legislations are posted on MCA's website for external stakeholders to submit comments and suggestions through the MCA21 portal [1]. Comments are captured in a structured format for consideration in amending draft legislation. When substantial volumes of feedback are received, there exists a significant risk of observations being inadvertently overlooked or inadequately analyzed.</w:t>
      </w:r>
    </w:p>
    <w:p>
      <w:pPr>
        <w:spacing w:after="80"/>
        <w:ind w:firstLine="283"/>
        <w:jc w:val="both"/>
      </w:pPr>
      <w:r>
        <w:rPr>
          <w:rFonts w:ascii="Times New Roman" w:hAnsi="Times New Roman"/>
          <w:sz w:val="20"/>
        </w:rPr>
        <w:t>The challenge is threefold: (a) scalability limitations when processing thousands of comments within legislative timelines, (b) subjective inconsistency across human reviewers, and (c) inability to generate aggregate statistical insights from unstructured text. The MCA Problem Statement (ID: 25035) specifically calls for an AI model to predict sentiments of stakeholder suggestions, generate summaries, and produce word cloud visualizations [1].</w:t>
      </w:r>
    </w:p>
    <w:p>
      <w:pPr>
        <w:spacing w:after="80"/>
        <w:ind w:firstLine="283"/>
        <w:jc w:val="both"/>
      </w:pPr>
      <w:r>
        <w:rPr>
          <w:rFonts w:ascii="Times New Roman" w:hAnsi="Times New Roman"/>
          <w:sz w:val="20"/>
        </w:rPr>
        <w:t>This paper presents a comprehensive solution addressing all three requirements through a multi-model architecture. Our key contributions are:</w:t>
      </w:r>
    </w:p>
    <w:p>
      <w:pPr>
        <w:spacing w:after="80"/>
        <w:jc w:val="both"/>
      </w:pPr>
      <w:r>
        <w:rPr>
          <w:rFonts w:ascii="Times New Roman" w:hAnsi="Times New Roman"/>
          <w:sz w:val="20"/>
        </w:rPr>
        <w:t>1) A production-grade microservice architecture combining RoBERTa for sentiment classification, BART for abstractive summarization, and enhanced word cloud generation.</w:t>
      </w:r>
    </w:p>
    <w:p>
      <w:pPr>
        <w:spacing w:after="80"/>
        <w:jc w:val="both"/>
      </w:pPr>
      <w:r>
        <w:rPr>
          <w:rFonts w:ascii="Times New Roman" w:hAnsi="Times New Roman"/>
          <w:sz w:val="20"/>
        </w:rPr>
        <w:t>2) A chunk-based summarization algorithm that handles documents exceeding BART's 1,024-token limit without information loss.</w:t>
      </w:r>
    </w:p>
    <w:p>
      <w:pPr>
        <w:spacing w:after="80"/>
        <w:jc w:val="both"/>
      </w:pPr>
      <w:r>
        <w:rPr>
          <w:rFonts w:ascii="Times New Roman" w:hAnsi="Times New Roman"/>
          <w:sz w:val="20"/>
        </w:rPr>
        <w:t>3) Attention-based explainability providing token-level importance scores for prediction transparency.</w:t>
      </w:r>
    </w:p>
    <w:p>
      <w:pPr>
        <w:spacing w:after="80"/>
        <w:jc w:val="both"/>
      </w:pPr>
      <w:r>
        <w:rPr>
          <w:rFonts w:ascii="Times New Roman" w:hAnsi="Times New Roman"/>
          <w:sz w:val="20"/>
        </w:rPr>
        <w:t>4) An uncertainty quantification mechanism that flags low-confidence predictions for mandatory human review.</w:t>
      </w:r>
    </w:p>
    <w:p>
      <w:pPr>
        <w:spacing w:after="80"/>
        <w:jc w:val="both"/>
      </w:pPr>
      <w:r>
        <w:rPr>
          <w:rFonts w:ascii="Times New Roman" w:hAnsi="Times New Roman"/>
          <w:sz w:val="20"/>
        </w:rPr>
        <w:t>5) A full-stack web application with interactive dashboards, automated PDF reports, and topic-wise categorization.</w:t>
      </w:r>
    </w:p>
    <w:p>
      <w:pPr>
        <w:spacing w:before="240" w:after="120"/>
        <w:jc w:val="center"/>
      </w:pPr>
      <w:r>
        <w:rPr>
          <w:rFonts w:ascii="Times New Roman" w:hAnsi="Times New Roman"/>
          <w:b/>
          <w:sz w:val="20"/>
        </w:rPr>
        <w:t>II. RELATED WORK</w:t>
      </w:r>
    </w:p>
    <w:p>
      <w:pPr>
        <w:spacing w:before="160" w:after="80"/>
      </w:pPr>
      <w:r>
        <w:rPr>
          <w:rFonts w:ascii="Times New Roman" w:hAnsi="Times New Roman"/>
          <w:i/>
          <w:sz w:val="20"/>
        </w:rPr>
        <w:t>A. Sentiment Analysis in E-Governance</w:t>
      </w:r>
    </w:p>
    <w:p>
      <w:pPr>
        <w:spacing w:after="80"/>
        <w:ind w:firstLine="283"/>
        <w:jc w:val="both"/>
      </w:pPr>
      <w:r>
        <w:rPr>
          <w:rFonts w:ascii="Times New Roman" w:hAnsi="Times New Roman"/>
          <w:sz w:val="20"/>
        </w:rPr>
        <w:t>Sentiment analysis in public policy differs from product review or social media analysis due to formal language, legal terminology, and nuanced opinions [2]. Charalabidis et al. [3] demonstrated opinion mining potential in e-participation platforms using lexicon-based approaches, achieving limited accuracy. Medaglia [4] surveyed e-government research and identified NLP as an underexplored area for citizen feedback analysis.</w:t>
      </w:r>
    </w:p>
    <w:p>
      <w:pPr>
        <w:spacing w:before="160" w:after="80"/>
      </w:pPr>
      <w:r>
        <w:rPr>
          <w:rFonts w:ascii="Times New Roman" w:hAnsi="Times New Roman"/>
          <w:i/>
          <w:sz w:val="20"/>
        </w:rPr>
        <w:t>B. Transformer-Based Text Classification</w:t>
      </w:r>
    </w:p>
    <w:p>
      <w:pPr>
        <w:spacing w:after="80"/>
        <w:ind w:firstLine="283"/>
        <w:jc w:val="both"/>
      </w:pPr>
      <w:r>
        <w:rPr>
          <w:rFonts w:ascii="Times New Roman" w:hAnsi="Times New Roman"/>
          <w:sz w:val="20"/>
        </w:rPr>
        <w:t>BERT [5] introduced bidirectional pre-training for language understanding. RoBERTa [6] improved upon BERT through optimized training—removing next sentence prediction, training with larger batches, and using dynamic masking. For domain-specific tasks, fine-tuning pre-trained transformers consistently outperforms training from scratch [7]. The CardiffNLP RoBERTa model [8] provides a strong baseline for sentiment analysis, trained on approximately 124 million tweets.</w:t>
      </w:r>
    </w:p>
    <w:p>
      <w:pPr>
        <w:spacing w:before="160" w:after="80"/>
      </w:pPr>
      <w:r>
        <w:rPr>
          <w:rFonts w:ascii="Times New Roman" w:hAnsi="Times New Roman"/>
          <w:i/>
          <w:sz w:val="20"/>
        </w:rPr>
        <w:t>C. Abstractive Summarization</w:t>
      </w:r>
    </w:p>
    <w:p>
      <w:pPr>
        <w:spacing w:after="80"/>
        <w:ind w:firstLine="283"/>
        <w:jc w:val="both"/>
      </w:pPr>
      <w:r>
        <w:rPr>
          <w:rFonts w:ascii="Times New Roman" w:hAnsi="Times New Roman"/>
          <w:sz w:val="20"/>
        </w:rPr>
        <w:t>BART [9] combines a bidirectional encoder with an autoregressive decoder using a denoising pre-training objective. The BART-large-CNN variant, fine-tuned on the CNN/DailyMail dataset [10], generates coherent summaries of news-style text. A key limitation is the 1,024-token input constraint, which we address through hierarchical chunk-based summarization.</w:t>
      </w:r>
    </w:p>
    <w:p>
      <w:pPr>
        <w:spacing w:before="160" w:after="80"/>
      </w:pPr>
      <w:r>
        <w:rPr>
          <w:rFonts w:ascii="Times New Roman" w:hAnsi="Times New Roman"/>
          <w:i/>
          <w:sz w:val="20"/>
        </w:rPr>
        <w:t>D. Explainable AI for Government Applications</w:t>
      </w:r>
    </w:p>
    <w:p>
      <w:pPr>
        <w:spacing w:after="80"/>
        <w:ind w:firstLine="283"/>
        <w:jc w:val="both"/>
      </w:pPr>
      <w:r>
        <w:rPr>
          <w:rFonts w:ascii="Times New Roman" w:hAnsi="Times New Roman"/>
          <w:sz w:val="20"/>
        </w:rPr>
        <w:t>Government AI applications require transparency and accountability [11]. While LIME [12] and SHAP [13] provide model-agnostic explanations, attention-based methods offer faster, architecture-native interpretability. Jain and Wallace [14] questioned attention as explanation, while Wiegreffe and Pinter [15] demonstrated its utility when properly contextualized.</w:t>
      </w:r>
    </w:p>
    <w:p>
      <w:pPr>
        <w:spacing w:before="240" w:after="120"/>
        <w:jc w:val="center"/>
      </w:pPr>
      <w:r>
        <w:rPr>
          <w:rFonts w:ascii="Times New Roman" w:hAnsi="Times New Roman"/>
          <w:b/>
          <w:sz w:val="20"/>
        </w:rPr>
        <w:t>III. SYSTEM ARCHITECTURE</w:t>
      </w:r>
    </w:p>
    <w:p>
      <w:pPr>
        <w:spacing w:before="160" w:after="80"/>
      </w:pPr>
      <w:r>
        <w:rPr>
          <w:rFonts w:ascii="Times New Roman" w:hAnsi="Times New Roman"/>
          <w:i/>
          <w:sz w:val="20"/>
        </w:rPr>
        <w:t>A. Overview</w:t>
      </w:r>
    </w:p>
    <w:p>
      <w:pPr>
        <w:spacing w:after="80"/>
        <w:ind w:firstLine="283"/>
        <w:jc w:val="both"/>
      </w:pPr>
      <w:r>
        <w:rPr>
          <w:rFonts w:ascii="Times New Roman" w:hAnsi="Times New Roman"/>
          <w:sz w:val="20"/>
        </w:rPr>
        <w:t>The system follows a three-tier microservice architecture comprising: (1) a frontend with Thymeleaf server-side rendering and Chart.js visualizations, (2) a Spring Boot 3.x backend handling authentication, file processing, and report generation, and (3) a Flask-based Python AI microservice hosting all NLP models. The Spring Boot backend communicates with the AI service via REST API calls using RestTemplate.</w:t>
      </w:r>
    </w:p>
    <w:p>
      <w:pPr>
        <w:spacing w:before="160" w:after="80"/>
      </w:pPr>
      <w:r>
        <w:rPr>
          <w:rFonts w:ascii="Times New Roman" w:hAnsi="Times New Roman"/>
          <w:i/>
          <w:sz w:val="20"/>
        </w:rPr>
        <w:t>B. Hardware Optimization</w:t>
      </w:r>
    </w:p>
    <w:p>
      <w:pPr>
        <w:spacing w:after="80"/>
        <w:ind w:firstLine="283"/>
        <w:jc w:val="both"/>
      </w:pPr>
      <w:r>
        <w:rPr>
          <w:rFonts w:ascii="Times New Roman" w:hAnsi="Times New Roman"/>
          <w:sz w:val="20"/>
        </w:rPr>
        <w:t>The AI service automatically detects available hardware acceleration using PyTorch's device detection, supporting NVIDIA CUDA GPUs, Apple Silicon MPS, and CPU fallback. All model tensors are moved to the optimal device at startup, enabling GPU-accelerated inference without code changes across deployment environments.</w:t>
      </w:r>
    </w:p>
    <w:p>
      <w:pPr>
        <w:spacing w:before="160" w:after="80"/>
      </w:pPr>
      <w:r>
        <w:rPr>
          <w:rFonts w:ascii="Times New Roman" w:hAnsi="Times New Roman"/>
          <w:i/>
          <w:sz w:val="20"/>
        </w:rPr>
        <w:t>C. Modular AI Service</w:t>
      </w:r>
    </w:p>
    <w:p>
      <w:pPr>
        <w:spacing w:after="80"/>
        <w:ind w:firstLine="283"/>
        <w:jc w:val="both"/>
      </w:pPr>
      <w:r>
        <w:rPr>
          <w:rFonts w:ascii="Times New Roman" w:hAnsi="Times New Roman"/>
          <w:sz w:val="20"/>
        </w:rPr>
        <w:t>The AI microservice is decomposed into four modules: (1) config.py centralizing all hyperparameters for reproducibility, (2) preprocessing.py implementing the text cleaning pipeline, (3) evaluation.py providing the model evaluation framework, and (4) explainability.py implementing attention-based prediction explanations.</w:t>
      </w:r>
    </w:p>
    <w:p>
      <w:pPr>
        <w:spacing w:before="240" w:after="120"/>
        <w:jc w:val="center"/>
      </w:pPr>
      <w:r>
        <w:rPr>
          <w:rFonts w:ascii="Times New Roman" w:hAnsi="Times New Roman"/>
          <w:b/>
          <w:sz w:val="20"/>
        </w:rPr>
        <w:t>IV. METHODOLOGY</w:t>
      </w:r>
    </w:p>
    <w:p>
      <w:pPr>
        <w:spacing w:before="160" w:after="80"/>
      </w:pPr>
      <w:r>
        <w:rPr>
          <w:rFonts w:ascii="Times New Roman" w:hAnsi="Times New Roman"/>
          <w:i/>
          <w:sz w:val="20"/>
        </w:rPr>
        <w:t>A. Text Preprocessing Pipeline</w:t>
      </w:r>
    </w:p>
    <w:p>
      <w:pPr>
        <w:spacing w:after="80"/>
        <w:ind w:firstLine="283"/>
        <w:jc w:val="both"/>
      </w:pPr>
      <w:r>
        <w:rPr>
          <w:rFonts w:ascii="Times New Roman" w:hAnsi="Times New Roman"/>
          <w:sz w:val="20"/>
        </w:rPr>
        <w:t>Raw stakeholder comments undergo multi-stage preprocessing: Unicode normalization (NFKD), URL and email removal, emoji and special character removal, and whitespace normalization. Stopwords are intentionally preserved for sentiment classification, as transformer models leverage function words for syntactic understanding [16]. For word cloud generation, both NLTK English stopwords (179 words) and 80+ domain-specific governance terms are removed.</w:t>
      </w:r>
    </w:p>
    <w:p>
      <w:pPr>
        <w:spacing w:before="160" w:after="80"/>
      </w:pPr>
      <w:r>
        <w:rPr>
          <w:rFonts w:ascii="Times New Roman" w:hAnsi="Times New Roman"/>
          <w:i/>
          <w:sz w:val="20"/>
        </w:rPr>
        <w:t>B. Sentiment Classification</w:t>
      </w:r>
    </w:p>
    <w:p>
      <w:pPr>
        <w:spacing w:after="80"/>
        <w:ind w:firstLine="283"/>
        <w:jc w:val="both"/>
      </w:pPr>
      <w:r>
        <w:rPr>
          <w:rFonts w:ascii="Times New Roman" w:hAnsi="Times New Roman"/>
          <w:sz w:val="20"/>
        </w:rPr>
        <w:t>We employ RoBERTa-base fine-tuned for three-class sentiment classification. The model processes tokenized input (max 256 tokens) through 12 transformer layers, producing logits converted to probabilities via softmax. Predictions with confidence below 0.6 are flagged as uncertain and surfaced for human review.</w:t>
      </w:r>
    </w:p>
    <w:p>
      <w:pPr>
        <w:spacing w:before="120" w:after="80"/>
        <w:jc w:val="center"/>
      </w:pPr>
      <w:r>
        <w:rPr>
          <w:rFonts w:ascii="Times New Roman" w:hAnsi="Times New Roman"/>
          <w:b/>
          <w:sz w:val="18"/>
        </w:rPr>
        <w:t>TABLE I: SENTIMENT CLASSIFICATION CONFIGURATION</w:t>
      </w:r>
    </w:p>
    <w:tbl>
      <w:tblPr>
        <w:tblStyle w:val="TableGrid"/>
        <w:tblW w:type="auto" w:w="0"/>
        <w:jc w:val="center"/>
        <w:tblLook w:firstColumn="1" w:firstRow="1" w:lastColumn="0" w:lastRow="0" w:noHBand="0" w:noVBand="1" w:val="04A0"/>
      </w:tblPr>
      <w:tblGrid>
        <w:gridCol w:w="5111"/>
        <w:gridCol w:w="5111"/>
      </w:tblGrid>
      <w:tr>
        <w:tc>
          <w:tcPr>
            <w:tcW w:type="dxa" w:w="5111"/>
          </w:tcPr>
          <w:p>
            <w:pPr>
              <w:jc w:val="center"/>
            </w:pPr>
            <w:r>
              <w:rPr>
                <w:rFonts w:ascii="Times New Roman" w:hAnsi="Times New Roman"/>
                <w:b/>
                <w:sz w:val="18"/>
              </w:rPr>
              <w:t>Parameter</w:t>
            </w:r>
          </w:p>
        </w:tc>
        <w:tc>
          <w:tcPr>
            <w:tcW w:type="dxa" w:w="5111"/>
          </w:tcPr>
          <w:p>
            <w:pPr>
              <w:jc w:val="center"/>
            </w:pPr>
            <w:r>
              <w:rPr>
                <w:rFonts w:ascii="Times New Roman" w:hAnsi="Times New Roman"/>
                <w:b/>
                <w:sz w:val="18"/>
              </w:rPr>
              <w:t>Value</w:t>
            </w:r>
          </w:p>
        </w:tc>
      </w:tr>
      <w:tr>
        <w:tc>
          <w:tcPr>
            <w:tcW w:type="dxa" w:w="5111"/>
          </w:tcPr>
          <w:p>
            <w:pPr>
              <w:jc w:val="center"/>
            </w:pPr>
            <w:r>
              <w:rPr>
                <w:rFonts w:ascii="Times New Roman" w:hAnsi="Times New Roman"/>
                <w:sz w:val="18"/>
              </w:rPr>
              <w:t>Model</w:t>
            </w:r>
          </w:p>
        </w:tc>
        <w:tc>
          <w:tcPr>
            <w:tcW w:type="dxa" w:w="5111"/>
          </w:tcPr>
          <w:p>
            <w:pPr>
              <w:jc w:val="center"/>
            </w:pPr>
            <w:r>
              <w:rPr>
                <w:rFonts w:ascii="Times New Roman" w:hAnsi="Times New Roman"/>
                <w:sz w:val="18"/>
              </w:rPr>
              <w:t>RoBERTa-base (125M params)</w:t>
            </w:r>
          </w:p>
        </w:tc>
      </w:tr>
      <w:tr>
        <w:tc>
          <w:tcPr>
            <w:tcW w:type="dxa" w:w="5111"/>
          </w:tcPr>
          <w:p>
            <w:pPr>
              <w:jc w:val="center"/>
            </w:pPr>
            <w:r>
              <w:rPr>
                <w:rFonts w:ascii="Times New Roman" w:hAnsi="Times New Roman"/>
                <w:sz w:val="18"/>
              </w:rPr>
              <w:t>Classes</w:t>
            </w:r>
          </w:p>
        </w:tc>
        <w:tc>
          <w:tcPr>
            <w:tcW w:type="dxa" w:w="5111"/>
          </w:tcPr>
          <w:p>
            <w:pPr>
              <w:jc w:val="center"/>
            </w:pPr>
            <w:r>
              <w:rPr>
                <w:rFonts w:ascii="Times New Roman" w:hAnsi="Times New Roman"/>
                <w:sz w:val="18"/>
              </w:rPr>
              <w:t>Positive, Neutral, Negative</w:t>
            </w:r>
          </w:p>
        </w:tc>
      </w:tr>
      <w:tr>
        <w:tc>
          <w:tcPr>
            <w:tcW w:type="dxa" w:w="5111"/>
          </w:tcPr>
          <w:p>
            <w:pPr>
              <w:jc w:val="center"/>
            </w:pPr>
            <w:r>
              <w:rPr>
                <w:rFonts w:ascii="Times New Roman" w:hAnsi="Times New Roman"/>
                <w:sz w:val="18"/>
              </w:rPr>
              <w:t>Max Token Length</w:t>
            </w:r>
          </w:p>
        </w:tc>
        <w:tc>
          <w:tcPr>
            <w:tcW w:type="dxa" w:w="5111"/>
          </w:tcPr>
          <w:p>
            <w:pPr>
              <w:jc w:val="center"/>
            </w:pPr>
            <w:r>
              <w:rPr>
                <w:rFonts w:ascii="Times New Roman" w:hAnsi="Times New Roman"/>
                <w:sz w:val="18"/>
              </w:rPr>
              <w:t>256</w:t>
            </w:r>
          </w:p>
        </w:tc>
      </w:tr>
      <w:tr>
        <w:tc>
          <w:tcPr>
            <w:tcW w:type="dxa" w:w="5111"/>
          </w:tcPr>
          <w:p>
            <w:pPr>
              <w:jc w:val="center"/>
            </w:pPr>
            <w:r>
              <w:rPr>
                <w:rFonts w:ascii="Times New Roman" w:hAnsi="Times New Roman"/>
                <w:sz w:val="18"/>
              </w:rPr>
              <w:t>Batch Size</w:t>
            </w:r>
          </w:p>
        </w:tc>
        <w:tc>
          <w:tcPr>
            <w:tcW w:type="dxa" w:w="5111"/>
          </w:tcPr>
          <w:p>
            <w:pPr>
              <w:jc w:val="center"/>
            </w:pPr>
            <w:r>
              <w:rPr>
                <w:rFonts w:ascii="Times New Roman" w:hAnsi="Times New Roman"/>
                <w:sz w:val="18"/>
              </w:rPr>
              <w:t>32</w:t>
            </w:r>
          </w:p>
        </w:tc>
      </w:tr>
      <w:tr>
        <w:tc>
          <w:tcPr>
            <w:tcW w:type="dxa" w:w="5111"/>
          </w:tcPr>
          <w:p>
            <w:pPr>
              <w:jc w:val="center"/>
            </w:pPr>
            <w:r>
              <w:rPr>
                <w:rFonts w:ascii="Times New Roman" w:hAnsi="Times New Roman"/>
                <w:sz w:val="18"/>
              </w:rPr>
              <w:t>Uncertainty Threshold</w:t>
            </w:r>
          </w:p>
        </w:tc>
        <w:tc>
          <w:tcPr>
            <w:tcW w:type="dxa" w:w="5111"/>
          </w:tcPr>
          <w:p>
            <w:pPr>
              <w:jc w:val="center"/>
            </w:pPr>
            <w:r>
              <w:rPr>
                <w:rFonts w:ascii="Times New Roman" w:hAnsi="Times New Roman"/>
                <w:sz w:val="18"/>
              </w:rPr>
              <w:t>0.6</w:t>
            </w:r>
          </w:p>
        </w:tc>
      </w:tr>
    </w:tbl>
    <w:p>
      <w:pPr>
        <w:spacing w:after="120"/>
      </w:pPr>
    </w:p>
    <w:p>
      <w:pPr>
        <w:spacing w:before="160" w:after="80"/>
      </w:pPr>
      <w:r>
        <w:rPr>
          <w:rFonts w:ascii="Times New Roman" w:hAnsi="Times New Roman"/>
          <w:i/>
          <w:sz w:val="20"/>
        </w:rPr>
        <w:t>C. Chunk-Based Summarization</w:t>
      </w:r>
    </w:p>
    <w:p>
      <w:pPr>
        <w:spacing w:after="80"/>
        <w:ind w:firstLine="283"/>
        <w:jc w:val="both"/>
      </w:pPr>
      <w:r>
        <w:rPr>
          <w:rFonts w:ascii="Times New Roman" w:hAnsi="Times New Roman"/>
          <w:sz w:val="20"/>
        </w:rPr>
        <w:t>BART-large-CNN has a maximum input of 1,024 tokens. Naive truncation discards information from longer documents. We propose a hierarchical chunk-based approach: (1) split input into sentence-boundary-aligned chunks of approximately 800 tokens, (2) summarize each chunk independently, (3) if multiple chunks exist, concatenate chunk summaries and re-summarize to produce a coherent final summary.</w:t>
      </w:r>
    </w:p>
    <w:p>
      <w:pPr>
        <w:spacing w:before="120" w:after="80"/>
        <w:jc w:val="center"/>
      </w:pPr>
      <w:r>
        <w:rPr>
          <w:rFonts w:ascii="Times New Roman" w:hAnsi="Times New Roman"/>
          <w:b/>
          <w:sz w:val="18"/>
        </w:rPr>
        <w:t>TABLE II: SUMMARIZATION CONFIGURATION</w:t>
      </w:r>
    </w:p>
    <w:tbl>
      <w:tblPr>
        <w:tblStyle w:val="TableGrid"/>
        <w:tblW w:type="auto" w:w="0"/>
        <w:jc w:val="center"/>
        <w:tblLook w:firstColumn="1" w:firstRow="1" w:lastColumn="0" w:lastRow="0" w:noHBand="0" w:noVBand="1" w:val="04A0"/>
      </w:tblPr>
      <w:tblGrid>
        <w:gridCol w:w="5111"/>
        <w:gridCol w:w="5111"/>
      </w:tblGrid>
      <w:tr>
        <w:tc>
          <w:tcPr>
            <w:tcW w:type="dxa" w:w="5111"/>
          </w:tcPr>
          <w:p>
            <w:pPr>
              <w:jc w:val="center"/>
            </w:pPr>
            <w:r>
              <w:rPr>
                <w:rFonts w:ascii="Times New Roman" w:hAnsi="Times New Roman"/>
                <w:b/>
                <w:sz w:val="18"/>
              </w:rPr>
              <w:t>Parameter</w:t>
            </w:r>
          </w:p>
        </w:tc>
        <w:tc>
          <w:tcPr>
            <w:tcW w:type="dxa" w:w="5111"/>
          </w:tcPr>
          <w:p>
            <w:pPr>
              <w:jc w:val="center"/>
            </w:pPr>
            <w:r>
              <w:rPr>
                <w:rFonts w:ascii="Times New Roman" w:hAnsi="Times New Roman"/>
                <w:b/>
                <w:sz w:val="18"/>
              </w:rPr>
              <w:t>Value</w:t>
            </w:r>
          </w:p>
        </w:tc>
      </w:tr>
      <w:tr>
        <w:tc>
          <w:tcPr>
            <w:tcW w:type="dxa" w:w="5111"/>
          </w:tcPr>
          <w:p>
            <w:pPr>
              <w:jc w:val="center"/>
            </w:pPr>
            <w:r>
              <w:rPr>
                <w:rFonts w:ascii="Times New Roman" w:hAnsi="Times New Roman"/>
                <w:sz w:val="18"/>
              </w:rPr>
              <w:t>Model</w:t>
            </w:r>
          </w:p>
        </w:tc>
        <w:tc>
          <w:tcPr>
            <w:tcW w:type="dxa" w:w="5111"/>
          </w:tcPr>
          <w:p>
            <w:pPr>
              <w:jc w:val="center"/>
            </w:pPr>
            <w:r>
              <w:rPr>
                <w:rFonts w:ascii="Times New Roman" w:hAnsi="Times New Roman"/>
                <w:sz w:val="18"/>
              </w:rPr>
              <w:t>BART-large-CNN (406M params)</w:t>
            </w:r>
          </w:p>
        </w:tc>
      </w:tr>
      <w:tr>
        <w:tc>
          <w:tcPr>
            <w:tcW w:type="dxa" w:w="5111"/>
          </w:tcPr>
          <w:p>
            <w:pPr>
              <w:jc w:val="center"/>
            </w:pPr>
            <w:r>
              <w:rPr>
                <w:rFonts w:ascii="Times New Roman" w:hAnsi="Times New Roman"/>
                <w:sz w:val="18"/>
              </w:rPr>
              <w:t>Max Input Tokens</w:t>
            </w:r>
          </w:p>
        </w:tc>
        <w:tc>
          <w:tcPr>
            <w:tcW w:type="dxa" w:w="5111"/>
          </w:tcPr>
          <w:p>
            <w:pPr>
              <w:jc w:val="center"/>
            </w:pPr>
            <w:r>
              <w:rPr>
                <w:rFonts w:ascii="Times New Roman" w:hAnsi="Times New Roman"/>
                <w:sz w:val="18"/>
              </w:rPr>
              <w:t>1,024</w:t>
            </w:r>
          </w:p>
        </w:tc>
      </w:tr>
      <w:tr>
        <w:tc>
          <w:tcPr>
            <w:tcW w:type="dxa" w:w="5111"/>
          </w:tcPr>
          <w:p>
            <w:pPr>
              <w:jc w:val="center"/>
            </w:pPr>
            <w:r>
              <w:rPr>
                <w:rFonts w:ascii="Times New Roman" w:hAnsi="Times New Roman"/>
                <w:sz w:val="18"/>
              </w:rPr>
              <w:t>Chunk Size</w:t>
            </w:r>
          </w:p>
        </w:tc>
        <w:tc>
          <w:tcPr>
            <w:tcW w:type="dxa" w:w="5111"/>
          </w:tcPr>
          <w:p>
            <w:pPr>
              <w:jc w:val="center"/>
            </w:pPr>
            <w:r>
              <w:rPr>
                <w:rFonts w:ascii="Times New Roman" w:hAnsi="Times New Roman"/>
                <w:sz w:val="18"/>
              </w:rPr>
              <w:t>800 tokens</w:t>
            </w:r>
          </w:p>
        </w:tc>
      </w:tr>
      <w:tr>
        <w:tc>
          <w:tcPr>
            <w:tcW w:type="dxa" w:w="5111"/>
          </w:tcPr>
          <w:p>
            <w:pPr>
              <w:jc w:val="center"/>
            </w:pPr>
            <w:r>
              <w:rPr>
                <w:rFonts w:ascii="Times New Roman" w:hAnsi="Times New Roman"/>
                <w:sz w:val="18"/>
              </w:rPr>
              <w:t>Max Output Length</w:t>
            </w:r>
          </w:p>
        </w:tc>
        <w:tc>
          <w:tcPr>
            <w:tcW w:type="dxa" w:w="5111"/>
          </w:tcPr>
          <w:p>
            <w:pPr>
              <w:jc w:val="center"/>
            </w:pPr>
            <w:r>
              <w:rPr>
                <w:rFonts w:ascii="Times New Roman" w:hAnsi="Times New Roman"/>
                <w:sz w:val="18"/>
              </w:rPr>
              <w:t>180 tokens</w:t>
            </w:r>
          </w:p>
        </w:tc>
      </w:tr>
      <w:tr>
        <w:tc>
          <w:tcPr>
            <w:tcW w:type="dxa" w:w="5111"/>
          </w:tcPr>
          <w:p>
            <w:pPr>
              <w:jc w:val="center"/>
            </w:pPr>
            <w:r>
              <w:rPr>
                <w:rFonts w:ascii="Times New Roman" w:hAnsi="Times New Roman"/>
                <w:sz w:val="18"/>
              </w:rPr>
              <w:t>Min Output Length</w:t>
            </w:r>
          </w:p>
        </w:tc>
        <w:tc>
          <w:tcPr>
            <w:tcW w:type="dxa" w:w="5111"/>
          </w:tcPr>
          <w:p>
            <w:pPr>
              <w:jc w:val="center"/>
            </w:pPr>
            <w:r>
              <w:rPr>
                <w:rFonts w:ascii="Times New Roman" w:hAnsi="Times New Roman"/>
                <w:sz w:val="18"/>
              </w:rPr>
              <w:t>80 tokens</w:t>
            </w:r>
          </w:p>
        </w:tc>
      </w:tr>
      <w:tr>
        <w:tc>
          <w:tcPr>
            <w:tcW w:type="dxa" w:w="5111"/>
          </w:tcPr>
          <w:p>
            <w:pPr>
              <w:jc w:val="center"/>
            </w:pPr>
            <w:r>
              <w:rPr>
                <w:rFonts w:ascii="Times New Roman" w:hAnsi="Times New Roman"/>
                <w:sz w:val="18"/>
              </w:rPr>
              <w:t>Beam Search Width</w:t>
            </w:r>
          </w:p>
        </w:tc>
        <w:tc>
          <w:tcPr>
            <w:tcW w:type="dxa" w:w="5111"/>
          </w:tcPr>
          <w:p>
            <w:pPr>
              <w:jc w:val="center"/>
            </w:pPr>
            <w:r>
              <w:rPr>
                <w:rFonts w:ascii="Times New Roman" w:hAnsi="Times New Roman"/>
                <w:sz w:val="18"/>
              </w:rPr>
              <w:t>4</w:t>
            </w:r>
          </w:p>
        </w:tc>
      </w:tr>
      <w:tr>
        <w:tc>
          <w:tcPr>
            <w:tcW w:type="dxa" w:w="5111"/>
          </w:tcPr>
          <w:p>
            <w:pPr>
              <w:jc w:val="center"/>
            </w:pPr>
            <w:r>
              <w:rPr>
                <w:rFonts w:ascii="Times New Roman" w:hAnsi="Times New Roman"/>
                <w:sz w:val="18"/>
              </w:rPr>
              <w:t>Length Penalty</w:t>
            </w:r>
          </w:p>
        </w:tc>
        <w:tc>
          <w:tcPr>
            <w:tcW w:type="dxa" w:w="5111"/>
          </w:tcPr>
          <w:p>
            <w:pPr>
              <w:jc w:val="center"/>
            </w:pPr>
            <w:r>
              <w:rPr>
                <w:rFonts w:ascii="Times New Roman" w:hAnsi="Times New Roman"/>
                <w:sz w:val="18"/>
              </w:rPr>
              <w:t>2.0</w:t>
            </w:r>
          </w:p>
        </w:tc>
      </w:tr>
    </w:tbl>
    <w:p>
      <w:pPr>
        <w:spacing w:after="120"/>
      </w:pPr>
    </w:p>
    <w:p>
      <w:pPr>
        <w:spacing w:before="160" w:after="80"/>
      </w:pPr>
      <w:r>
        <w:rPr>
          <w:rFonts w:ascii="Times New Roman" w:hAnsi="Times New Roman"/>
          <w:i/>
          <w:sz w:val="20"/>
        </w:rPr>
        <w:t>D. Enhanced Word Cloud Generation</w:t>
      </w:r>
    </w:p>
    <w:p>
      <w:pPr>
        <w:spacing w:after="80"/>
        <w:ind w:firstLine="283"/>
        <w:jc w:val="both"/>
      </w:pPr>
      <w:r>
        <w:rPr>
          <w:rFonts w:ascii="Times New Roman" w:hAnsi="Times New Roman"/>
          <w:sz w:val="20"/>
        </w:rPr>
        <w:t>Word cloud generation employs aggressive text cleaning with three-tier stopword removal: NLTK English stopwords, domain-specific governance terms (e.g., 'shall,' 'pursuant,' 'hereby'), and common filler words. The WordCloud library generates 1200x600 pixel images with frequency-proportional sizing, collocation prevention, and the viridis colormap.</w:t>
      </w:r>
    </w:p>
    <w:p>
      <w:pPr>
        <w:spacing w:before="160" w:after="80"/>
      </w:pPr>
      <w:r>
        <w:rPr>
          <w:rFonts w:ascii="Times New Roman" w:hAnsi="Times New Roman"/>
          <w:i/>
          <w:sz w:val="20"/>
        </w:rPr>
        <w:t>E. Attention-Based Explainability</w:t>
      </w:r>
    </w:p>
    <w:p>
      <w:pPr>
        <w:spacing w:after="80"/>
        <w:ind w:firstLine="283"/>
        <w:jc w:val="both"/>
      </w:pPr>
      <w:r>
        <w:rPr>
          <w:rFonts w:ascii="Times New Roman" w:hAnsi="Times New Roman"/>
          <w:sz w:val="20"/>
        </w:rPr>
        <w:t>For each prediction, attention weights from the final transformer layer are extracted. The attention matrix A (H heads, L sequence length) is averaged across heads, and the CLS token's attention vector is mapped back to input tokens. Tokens are ranked by attention score, providing interpretable evidence for classification decisions.</w:t>
      </w:r>
    </w:p>
    <w:p>
      <w:pPr>
        <w:spacing w:before="160" w:after="80"/>
      </w:pPr>
      <w:r>
        <w:rPr>
          <w:rFonts w:ascii="Times New Roman" w:hAnsi="Times New Roman"/>
          <w:i/>
          <w:sz w:val="20"/>
        </w:rPr>
        <w:t>F. Evaluation Pipeline</w:t>
      </w:r>
    </w:p>
    <w:p>
      <w:pPr>
        <w:spacing w:after="80"/>
        <w:ind w:firstLine="283"/>
        <w:jc w:val="both"/>
      </w:pPr>
      <w:r>
        <w:rPr>
          <w:rFonts w:ascii="Times New Roman" w:hAnsi="Times New Roman"/>
          <w:sz w:val="20"/>
        </w:rPr>
        <w:t>The evaluation module computes accuracy, precision, recall, and F1-score (macro and weighted) using scikit-learn. Confusion matrices are generated as both JSON and PNG. All artifacts include timestamps and device information for reproducibility.</w:t>
      </w:r>
    </w:p>
    <w:p>
      <w:pPr>
        <w:spacing w:before="240" w:after="120"/>
        <w:jc w:val="center"/>
      </w:pPr>
      <w:r>
        <w:rPr>
          <w:rFonts w:ascii="Times New Roman" w:hAnsi="Times New Roman"/>
          <w:b/>
          <w:sz w:val="20"/>
        </w:rPr>
        <w:t>V. IMPLEMENTATION DETAILS</w:t>
      </w:r>
    </w:p>
    <w:p>
      <w:pPr>
        <w:spacing w:before="120" w:after="80"/>
        <w:jc w:val="center"/>
      </w:pPr>
      <w:r>
        <w:rPr>
          <w:rFonts w:ascii="Times New Roman" w:hAnsi="Times New Roman"/>
          <w:b/>
          <w:sz w:val="18"/>
        </w:rPr>
        <w:t>TABLE III: TECHNOLOGY STACK</w:t>
      </w:r>
    </w:p>
    <w:tbl>
      <w:tblPr>
        <w:tblStyle w:val="TableGrid"/>
        <w:tblW w:type="auto" w:w="0"/>
        <w:jc w:val="center"/>
        <w:tblLook w:firstColumn="1" w:firstRow="1" w:lastColumn="0" w:lastRow="0" w:noHBand="0" w:noVBand="1" w:val="04A0"/>
      </w:tblPr>
      <w:tblGrid>
        <w:gridCol w:w="5111"/>
        <w:gridCol w:w="5111"/>
      </w:tblGrid>
      <w:tr>
        <w:tc>
          <w:tcPr>
            <w:tcW w:type="dxa" w:w="5111"/>
          </w:tcPr>
          <w:p>
            <w:pPr>
              <w:jc w:val="center"/>
            </w:pPr>
            <w:r>
              <w:rPr>
                <w:rFonts w:ascii="Times New Roman" w:hAnsi="Times New Roman"/>
                <w:b/>
                <w:sz w:val="18"/>
              </w:rPr>
              <w:t>Component</w:t>
            </w:r>
          </w:p>
        </w:tc>
        <w:tc>
          <w:tcPr>
            <w:tcW w:type="dxa" w:w="5111"/>
          </w:tcPr>
          <w:p>
            <w:pPr>
              <w:jc w:val="center"/>
            </w:pPr>
            <w:r>
              <w:rPr>
                <w:rFonts w:ascii="Times New Roman" w:hAnsi="Times New Roman"/>
                <w:b/>
                <w:sz w:val="18"/>
              </w:rPr>
              <w:t>Technology</w:t>
            </w:r>
          </w:p>
        </w:tc>
      </w:tr>
      <w:tr>
        <w:tc>
          <w:tcPr>
            <w:tcW w:type="dxa" w:w="5111"/>
          </w:tcPr>
          <w:p>
            <w:pPr>
              <w:jc w:val="center"/>
            </w:pPr>
            <w:r>
              <w:rPr>
                <w:rFonts w:ascii="Times New Roman" w:hAnsi="Times New Roman"/>
                <w:sz w:val="18"/>
              </w:rPr>
              <w:t>Backend</w:t>
            </w:r>
          </w:p>
        </w:tc>
        <w:tc>
          <w:tcPr>
            <w:tcW w:type="dxa" w:w="5111"/>
          </w:tcPr>
          <w:p>
            <w:pPr>
              <w:jc w:val="center"/>
            </w:pPr>
            <w:r>
              <w:rPr>
                <w:rFonts w:ascii="Times New Roman" w:hAnsi="Times New Roman"/>
                <w:sz w:val="18"/>
              </w:rPr>
              <w:t>Spring Boot 3.2.5, Java 17</w:t>
            </w:r>
          </w:p>
        </w:tc>
      </w:tr>
      <w:tr>
        <w:tc>
          <w:tcPr>
            <w:tcW w:type="dxa" w:w="5111"/>
          </w:tcPr>
          <w:p>
            <w:pPr>
              <w:jc w:val="center"/>
            </w:pPr>
            <w:r>
              <w:rPr>
                <w:rFonts w:ascii="Times New Roman" w:hAnsi="Times New Roman"/>
                <w:sz w:val="18"/>
              </w:rPr>
              <w:t>AI Service</w:t>
            </w:r>
          </w:p>
        </w:tc>
        <w:tc>
          <w:tcPr>
            <w:tcW w:type="dxa" w:w="5111"/>
          </w:tcPr>
          <w:p>
            <w:pPr>
              <w:jc w:val="center"/>
            </w:pPr>
            <w:r>
              <w:rPr>
                <w:rFonts w:ascii="Times New Roman" w:hAnsi="Times New Roman"/>
                <w:sz w:val="18"/>
              </w:rPr>
              <w:t>Python 3.10, Flask 3.0</w:t>
            </w:r>
          </w:p>
        </w:tc>
      </w:tr>
      <w:tr>
        <w:tc>
          <w:tcPr>
            <w:tcW w:type="dxa" w:w="5111"/>
          </w:tcPr>
          <w:p>
            <w:pPr>
              <w:jc w:val="center"/>
            </w:pPr>
            <w:r>
              <w:rPr>
                <w:rFonts w:ascii="Times New Roman" w:hAnsi="Times New Roman"/>
                <w:sz w:val="18"/>
              </w:rPr>
              <w:t>Sentiment Model</w:t>
            </w:r>
          </w:p>
        </w:tc>
        <w:tc>
          <w:tcPr>
            <w:tcW w:type="dxa" w:w="5111"/>
          </w:tcPr>
          <w:p>
            <w:pPr>
              <w:jc w:val="center"/>
            </w:pPr>
            <w:r>
              <w:rPr>
                <w:rFonts w:ascii="Times New Roman" w:hAnsi="Times New Roman"/>
                <w:sz w:val="18"/>
              </w:rPr>
              <w:t>RoBERTa-base (HuggingFace)</w:t>
            </w:r>
          </w:p>
        </w:tc>
      </w:tr>
      <w:tr>
        <w:tc>
          <w:tcPr>
            <w:tcW w:type="dxa" w:w="5111"/>
          </w:tcPr>
          <w:p>
            <w:pPr>
              <w:jc w:val="center"/>
            </w:pPr>
            <w:r>
              <w:rPr>
                <w:rFonts w:ascii="Times New Roman" w:hAnsi="Times New Roman"/>
                <w:sz w:val="18"/>
              </w:rPr>
              <w:t>Summarization</w:t>
            </w:r>
          </w:p>
        </w:tc>
        <w:tc>
          <w:tcPr>
            <w:tcW w:type="dxa" w:w="5111"/>
          </w:tcPr>
          <w:p>
            <w:pPr>
              <w:jc w:val="center"/>
            </w:pPr>
            <w:r>
              <w:rPr>
                <w:rFonts w:ascii="Times New Roman" w:hAnsi="Times New Roman"/>
                <w:sz w:val="18"/>
              </w:rPr>
              <w:t>BART-large-CNN (HuggingFace)</w:t>
            </w:r>
          </w:p>
        </w:tc>
      </w:tr>
      <w:tr>
        <w:tc>
          <w:tcPr>
            <w:tcW w:type="dxa" w:w="5111"/>
          </w:tcPr>
          <w:p>
            <w:pPr>
              <w:jc w:val="center"/>
            </w:pPr>
            <w:r>
              <w:rPr>
                <w:rFonts w:ascii="Times New Roman" w:hAnsi="Times New Roman"/>
                <w:sz w:val="18"/>
              </w:rPr>
              <w:t>Database</w:t>
            </w:r>
          </w:p>
        </w:tc>
        <w:tc>
          <w:tcPr>
            <w:tcW w:type="dxa" w:w="5111"/>
          </w:tcPr>
          <w:p>
            <w:pPr>
              <w:jc w:val="center"/>
            </w:pPr>
            <w:r>
              <w:rPr>
                <w:rFonts w:ascii="Times New Roman" w:hAnsi="Times New Roman"/>
                <w:sz w:val="18"/>
              </w:rPr>
              <w:t>PostgreSQL 15</w:t>
            </w:r>
          </w:p>
        </w:tc>
      </w:tr>
      <w:tr>
        <w:tc>
          <w:tcPr>
            <w:tcW w:type="dxa" w:w="5111"/>
          </w:tcPr>
          <w:p>
            <w:pPr>
              <w:jc w:val="center"/>
            </w:pPr>
            <w:r>
              <w:rPr>
                <w:rFonts w:ascii="Times New Roman" w:hAnsi="Times New Roman"/>
                <w:sz w:val="18"/>
              </w:rPr>
              <w:t>Authentication</w:t>
            </w:r>
          </w:p>
        </w:tc>
        <w:tc>
          <w:tcPr>
            <w:tcW w:type="dxa" w:w="5111"/>
          </w:tcPr>
          <w:p>
            <w:pPr>
              <w:jc w:val="center"/>
            </w:pPr>
            <w:r>
              <w:rPr>
                <w:rFonts w:ascii="Times New Roman" w:hAnsi="Times New Roman"/>
                <w:sz w:val="18"/>
              </w:rPr>
              <w:t>Spring Security + Google OAuth2</w:t>
            </w:r>
          </w:p>
        </w:tc>
      </w:tr>
      <w:tr>
        <w:tc>
          <w:tcPr>
            <w:tcW w:type="dxa" w:w="5111"/>
          </w:tcPr>
          <w:p>
            <w:pPr>
              <w:jc w:val="center"/>
            </w:pPr>
            <w:r>
              <w:rPr>
                <w:rFonts w:ascii="Times New Roman" w:hAnsi="Times New Roman"/>
                <w:sz w:val="18"/>
              </w:rPr>
              <w:t>PDF Generation</w:t>
            </w:r>
          </w:p>
        </w:tc>
        <w:tc>
          <w:tcPr>
            <w:tcW w:type="dxa" w:w="5111"/>
          </w:tcPr>
          <w:p>
            <w:pPr>
              <w:jc w:val="center"/>
            </w:pPr>
            <w:r>
              <w:rPr>
                <w:rFonts w:ascii="Times New Roman" w:hAnsi="Times New Roman"/>
                <w:sz w:val="18"/>
              </w:rPr>
              <w:t>iText 7</w:t>
            </w:r>
          </w:p>
        </w:tc>
      </w:tr>
      <w:tr>
        <w:tc>
          <w:tcPr>
            <w:tcW w:type="dxa" w:w="5111"/>
          </w:tcPr>
          <w:p>
            <w:pPr>
              <w:jc w:val="center"/>
            </w:pPr>
            <w:r>
              <w:rPr>
                <w:rFonts w:ascii="Times New Roman" w:hAnsi="Times New Roman"/>
                <w:sz w:val="18"/>
              </w:rPr>
              <w:t>Visualization</w:t>
            </w:r>
          </w:p>
        </w:tc>
        <w:tc>
          <w:tcPr>
            <w:tcW w:type="dxa" w:w="5111"/>
          </w:tcPr>
          <w:p>
            <w:pPr>
              <w:jc w:val="center"/>
            </w:pPr>
            <w:r>
              <w:rPr>
                <w:rFonts w:ascii="Times New Roman" w:hAnsi="Times New Roman"/>
                <w:sz w:val="18"/>
              </w:rPr>
              <w:t>Chart.js, WordCloud (Python)</w:t>
            </w:r>
          </w:p>
        </w:tc>
      </w:tr>
      <w:tr>
        <w:tc>
          <w:tcPr>
            <w:tcW w:type="dxa" w:w="5111"/>
          </w:tcPr>
          <w:p>
            <w:pPr>
              <w:jc w:val="center"/>
            </w:pPr>
            <w:r>
              <w:rPr>
                <w:rFonts w:ascii="Times New Roman" w:hAnsi="Times New Roman"/>
                <w:sz w:val="18"/>
              </w:rPr>
              <w:t>Containerization</w:t>
            </w:r>
          </w:p>
        </w:tc>
        <w:tc>
          <w:tcPr>
            <w:tcW w:type="dxa" w:w="5111"/>
          </w:tcPr>
          <w:p>
            <w:pPr>
              <w:jc w:val="center"/>
            </w:pPr>
            <w:r>
              <w:rPr>
                <w:rFonts w:ascii="Times New Roman" w:hAnsi="Times New Roman"/>
                <w:sz w:val="18"/>
              </w:rPr>
              <w:t>Docker + Docker Compose</w:t>
            </w:r>
          </w:p>
        </w:tc>
      </w:tr>
    </w:tbl>
    <w:p>
      <w:pPr>
        <w:spacing w:after="120"/>
      </w:pPr>
    </w:p>
    <w:p>
      <w:pPr>
        <w:spacing w:after="80"/>
        <w:ind w:firstLine="283"/>
        <w:jc w:val="both"/>
      </w:pPr>
      <w:r>
        <w:rPr>
          <w:rFonts w:ascii="Times New Roman" w:hAnsi="Times New Roman"/>
          <w:sz w:val="20"/>
        </w:rPr>
        <w:t>The frontend provides an interactive dashboard with KPI cards, pie chart for sentiment distribution, bar chart for confidence distribution, word cloud visualization, AI-generated summaries per sentiment group, topic-wise categorization (Penalties, Audit, Reporting, Compliance), searchable comment table, and downloadable CSV/PDF reports.</w:t>
      </w:r>
    </w:p>
    <w:p>
      <w:pPr>
        <w:spacing w:before="240" w:after="120"/>
        <w:jc w:val="center"/>
      </w:pPr>
      <w:r>
        <w:rPr>
          <w:rFonts w:ascii="Times New Roman" w:hAnsi="Times New Roman"/>
          <w:b/>
          <w:sz w:val="20"/>
        </w:rPr>
        <w:t>VI. EXPERIMENTAL RESULTS</w:t>
      </w:r>
    </w:p>
    <w:p>
      <w:pPr>
        <w:spacing w:before="160" w:after="80"/>
      </w:pPr>
      <w:r>
        <w:rPr>
          <w:rFonts w:ascii="Times New Roman" w:hAnsi="Times New Roman"/>
          <w:i/>
          <w:sz w:val="20"/>
        </w:rPr>
        <w:t>A. Classification Performance</w:t>
      </w:r>
    </w:p>
    <w:p>
      <w:pPr>
        <w:spacing w:before="120" w:after="80"/>
        <w:jc w:val="center"/>
      </w:pPr>
      <w:r>
        <w:rPr>
          <w:rFonts w:ascii="Times New Roman" w:hAnsi="Times New Roman"/>
          <w:b/>
          <w:sz w:val="18"/>
        </w:rPr>
        <w:t>TABLE IV: SENTIMENT CLASSIFICATION RESULTS</w:t>
      </w:r>
    </w:p>
    <w:tbl>
      <w:tblPr>
        <w:tblStyle w:val="TableGrid"/>
        <w:tblW w:type="auto" w:w="0"/>
        <w:jc w:val="center"/>
        <w:tblLook w:firstColumn="1" w:firstRow="1" w:lastColumn="0" w:lastRow="0" w:noHBand="0" w:noVBand="1" w:val="04A0"/>
      </w:tblPr>
      <w:tblGrid>
        <w:gridCol w:w="5111"/>
        <w:gridCol w:w="5111"/>
      </w:tblGrid>
      <w:tr>
        <w:tc>
          <w:tcPr>
            <w:tcW w:type="dxa" w:w="5111"/>
          </w:tcPr>
          <w:p>
            <w:pPr>
              <w:jc w:val="center"/>
            </w:pPr>
            <w:r>
              <w:rPr>
                <w:rFonts w:ascii="Times New Roman" w:hAnsi="Times New Roman"/>
                <w:b/>
                <w:sz w:val="18"/>
              </w:rPr>
              <w:t>Metric</w:t>
            </w:r>
          </w:p>
        </w:tc>
        <w:tc>
          <w:tcPr>
            <w:tcW w:type="dxa" w:w="5111"/>
          </w:tcPr>
          <w:p>
            <w:pPr>
              <w:jc w:val="center"/>
            </w:pPr>
            <w:r>
              <w:rPr>
                <w:rFonts w:ascii="Times New Roman" w:hAnsi="Times New Roman"/>
                <w:b/>
                <w:sz w:val="18"/>
              </w:rPr>
              <w:t>Score</w:t>
            </w:r>
          </w:p>
        </w:tc>
      </w:tr>
      <w:tr>
        <w:tc>
          <w:tcPr>
            <w:tcW w:type="dxa" w:w="5111"/>
          </w:tcPr>
          <w:p>
            <w:pPr>
              <w:jc w:val="center"/>
            </w:pPr>
            <w:r>
              <w:rPr>
                <w:rFonts w:ascii="Times New Roman" w:hAnsi="Times New Roman"/>
                <w:sz w:val="18"/>
              </w:rPr>
              <w:t>Accuracy</w:t>
            </w:r>
          </w:p>
        </w:tc>
        <w:tc>
          <w:tcPr>
            <w:tcW w:type="dxa" w:w="5111"/>
          </w:tcPr>
          <w:p>
            <w:pPr>
              <w:jc w:val="center"/>
            </w:pPr>
            <w:r>
              <w:rPr>
                <w:rFonts w:ascii="Times New Roman" w:hAnsi="Times New Roman"/>
                <w:sz w:val="18"/>
              </w:rPr>
              <w:t>0.8750</w:t>
            </w:r>
          </w:p>
        </w:tc>
      </w:tr>
      <w:tr>
        <w:tc>
          <w:tcPr>
            <w:tcW w:type="dxa" w:w="5111"/>
          </w:tcPr>
          <w:p>
            <w:pPr>
              <w:jc w:val="center"/>
            </w:pPr>
            <w:r>
              <w:rPr>
                <w:rFonts w:ascii="Times New Roman" w:hAnsi="Times New Roman"/>
                <w:sz w:val="18"/>
              </w:rPr>
              <w:t>Precision (macro)</w:t>
            </w:r>
          </w:p>
        </w:tc>
        <w:tc>
          <w:tcPr>
            <w:tcW w:type="dxa" w:w="5111"/>
          </w:tcPr>
          <w:p>
            <w:pPr>
              <w:jc w:val="center"/>
            </w:pPr>
            <w:r>
              <w:rPr>
                <w:rFonts w:ascii="Times New Roman" w:hAnsi="Times New Roman"/>
                <w:sz w:val="18"/>
              </w:rPr>
              <w:t>0.8612</w:t>
            </w:r>
          </w:p>
        </w:tc>
      </w:tr>
      <w:tr>
        <w:tc>
          <w:tcPr>
            <w:tcW w:type="dxa" w:w="5111"/>
          </w:tcPr>
          <w:p>
            <w:pPr>
              <w:jc w:val="center"/>
            </w:pPr>
            <w:r>
              <w:rPr>
                <w:rFonts w:ascii="Times New Roman" w:hAnsi="Times New Roman"/>
                <w:sz w:val="18"/>
              </w:rPr>
              <w:t>Recall (macro)</w:t>
            </w:r>
          </w:p>
        </w:tc>
        <w:tc>
          <w:tcPr>
            <w:tcW w:type="dxa" w:w="5111"/>
          </w:tcPr>
          <w:p>
            <w:pPr>
              <w:jc w:val="center"/>
            </w:pPr>
            <w:r>
              <w:rPr>
                <w:rFonts w:ascii="Times New Roman" w:hAnsi="Times New Roman"/>
                <w:sz w:val="18"/>
              </w:rPr>
              <w:t>0.8534</w:t>
            </w:r>
          </w:p>
        </w:tc>
      </w:tr>
      <w:tr>
        <w:tc>
          <w:tcPr>
            <w:tcW w:type="dxa" w:w="5111"/>
          </w:tcPr>
          <w:p>
            <w:pPr>
              <w:jc w:val="center"/>
            </w:pPr>
            <w:r>
              <w:rPr>
                <w:rFonts w:ascii="Times New Roman" w:hAnsi="Times New Roman"/>
                <w:sz w:val="18"/>
              </w:rPr>
              <w:t>F1-score (macro)</w:t>
            </w:r>
          </w:p>
        </w:tc>
        <w:tc>
          <w:tcPr>
            <w:tcW w:type="dxa" w:w="5111"/>
          </w:tcPr>
          <w:p>
            <w:pPr>
              <w:jc w:val="center"/>
            </w:pPr>
            <w:r>
              <w:rPr>
                <w:rFonts w:ascii="Times New Roman" w:hAnsi="Times New Roman"/>
                <w:sz w:val="18"/>
              </w:rPr>
              <w:t>0.8571</w:t>
            </w:r>
          </w:p>
        </w:tc>
      </w:tr>
      <w:tr>
        <w:tc>
          <w:tcPr>
            <w:tcW w:type="dxa" w:w="5111"/>
          </w:tcPr>
          <w:p>
            <w:pPr>
              <w:jc w:val="center"/>
            </w:pPr>
            <w:r>
              <w:rPr>
                <w:rFonts w:ascii="Times New Roman" w:hAnsi="Times New Roman"/>
                <w:sz w:val="18"/>
              </w:rPr>
              <w:t>F1-score (weighted)</w:t>
            </w:r>
          </w:p>
        </w:tc>
        <w:tc>
          <w:tcPr>
            <w:tcW w:type="dxa" w:w="5111"/>
          </w:tcPr>
          <w:p>
            <w:pPr>
              <w:jc w:val="center"/>
            </w:pPr>
            <w:r>
              <w:rPr>
                <w:rFonts w:ascii="Times New Roman" w:hAnsi="Times New Roman"/>
                <w:sz w:val="18"/>
              </w:rPr>
              <w:t>0.8789</w:t>
            </w:r>
          </w:p>
        </w:tc>
      </w:tr>
    </w:tbl>
    <w:p>
      <w:pPr>
        <w:spacing w:after="120"/>
      </w:pPr>
    </w:p>
    <w:p>
      <w:pPr>
        <w:spacing w:before="160" w:after="80"/>
      </w:pPr>
      <w:r>
        <w:rPr>
          <w:rFonts w:ascii="Times New Roman" w:hAnsi="Times New Roman"/>
          <w:i/>
          <w:sz w:val="20"/>
        </w:rPr>
        <w:t>B. Per-Class Performance</w:t>
      </w:r>
    </w:p>
    <w:p>
      <w:pPr>
        <w:spacing w:before="120" w:after="80"/>
        <w:jc w:val="center"/>
      </w:pPr>
      <w:r>
        <w:rPr>
          <w:rFonts w:ascii="Times New Roman" w:hAnsi="Times New Roman"/>
          <w:b/>
          <w:sz w:val="18"/>
        </w:rPr>
        <w:t>TABLE V: PER-CLASS METRICS</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2555"/>
          </w:tcPr>
          <w:p>
            <w:pPr>
              <w:jc w:val="center"/>
            </w:pPr>
            <w:r>
              <w:rPr>
                <w:rFonts w:ascii="Times New Roman" w:hAnsi="Times New Roman"/>
                <w:b/>
                <w:sz w:val="18"/>
              </w:rPr>
              <w:t>Class</w:t>
            </w:r>
          </w:p>
        </w:tc>
        <w:tc>
          <w:tcPr>
            <w:tcW w:type="dxa" w:w="2555"/>
          </w:tcPr>
          <w:p>
            <w:pPr>
              <w:jc w:val="center"/>
            </w:pPr>
            <w:r>
              <w:rPr>
                <w:rFonts w:ascii="Times New Roman" w:hAnsi="Times New Roman"/>
                <w:b/>
                <w:sz w:val="18"/>
              </w:rPr>
              <w:t>Precision</w:t>
            </w:r>
          </w:p>
        </w:tc>
        <w:tc>
          <w:tcPr>
            <w:tcW w:type="dxa" w:w="2555"/>
          </w:tcPr>
          <w:p>
            <w:pPr>
              <w:jc w:val="center"/>
            </w:pPr>
            <w:r>
              <w:rPr>
                <w:rFonts w:ascii="Times New Roman" w:hAnsi="Times New Roman"/>
                <w:b/>
                <w:sz w:val="18"/>
              </w:rPr>
              <w:t>Recall</w:t>
            </w:r>
          </w:p>
        </w:tc>
        <w:tc>
          <w:tcPr>
            <w:tcW w:type="dxa" w:w="2555"/>
          </w:tcPr>
          <w:p>
            <w:pPr>
              <w:jc w:val="center"/>
            </w:pPr>
            <w:r>
              <w:rPr>
                <w:rFonts w:ascii="Times New Roman" w:hAnsi="Times New Roman"/>
                <w:b/>
                <w:sz w:val="18"/>
              </w:rPr>
              <w:t>F1-score</w:t>
            </w:r>
          </w:p>
        </w:tc>
      </w:tr>
      <w:tr>
        <w:tc>
          <w:tcPr>
            <w:tcW w:type="dxa" w:w="2555"/>
          </w:tcPr>
          <w:p>
            <w:pPr>
              <w:jc w:val="center"/>
            </w:pPr>
            <w:r>
              <w:rPr>
                <w:rFonts w:ascii="Times New Roman" w:hAnsi="Times New Roman"/>
                <w:sz w:val="18"/>
              </w:rPr>
              <w:t>Positive</w:t>
            </w:r>
          </w:p>
        </w:tc>
        <w:tc>
          <w:tcPr>
            <w:tcW w:type="dxa" w:w="2555"/>
          </w:tcPr>
          <w:p>
            <w:pPr>
              <w:jc w:val="center"/>
            </w:pPr>
            <w:r>
              <w:rPr>
                <w:rFonts w:ascii="Times New Roman" w:hAnsi="Times New Roman"/>
                <w:sz w:val="18"/>
              </w:rPr>
              <w:t>0.9012</w:t>
            </w:r>
          </w:p>
        </w:tc>
        <w:tc>
          <w:tcPr>
            <w:tcW w:type="dxa" w:w="2555"/>
          </w:tcPr>
          <w:p>
            <w:pPr>
              <w:jc w:val="center"/>
            </w:pPr>
            <w:r>
              <w:rPr>
                <w:rFonts w:ascii="Times New Roman" w:hAnsi="Times New Roman"/>
                <w:sz w:val="18"/>
              </w:rPr>
              <w:t>0.8845</w:t>
            </w:r>
          </w:p>
        </w:tc>
        <w:tc>
          <w:tcPr>
            <w:tcW w:type="dxa" w:w="2555"/>
          </w:tcPr>
          <w:p>
            <w:pPr>
              <w:jc w:val="center"/>
            </w:pPr>
            <w:r>
              <w:rPr>
                <w:rFonts w:ascii="Times New Roman" w:hAnsi="Times New Roman"/>
                <w:sz w:val="18"/>
              </w:rPr>
              <w:t>0.8928</w:t>
            </w:r>
          </w:p>
        </w:tc>
      </w:tr>
      <w:tr>
        <w:tc>
          <w:tcPr>
            <w:tcW w:type="dxa" w:w="2555"/>
          </w:tcPr>
          <w:p>
            <w:pPr>
              <w:jc w:val="center"/>
            </w:pPr>
            <w:r>
              <w:rPr>
                <w:rFonts w:ascii="Times New Roman" w:hAnsi="Times New Roman"/>
                <w:sz w:val="18"/>
              </w:rPr>
              <w:t>Neutral</w:t>
            </w:r>
          </w:p>
        </w:tc>
        <w:tc>
          <w:tcPr>
            <w:tcW w:type="dxa" w:w="2555"/>
          </w:tcPr>
          <w:p>
            <w:pPr>
              <w:jc w:val="center"/>
            </w:pPr>
            <w:r>
              <w:rPr>
                <w:rFonts w:ascii="Times New Roman" w:hAnsi="Times New Roman"/>
                <w:sz w:val="18"/>
              </w:rPr>
              <w:t>0.8234</w:t>
            </w:r>
          </w:p>
        </w:tc>
        <w:tc>
          <w:tcPr>
            <w:tcW w:type="dxa" w:w="2555"/>
          </w:tcPr>
          <w:p>
            <w:pPr>
              <w:jc w:val="center"/>
            </w:pPr>
            <w:r>
              <w:rPr>
                <w:rFonts w:ascii="Times New Roman" w:hAnsi="Times New Roman"/>
                <w:sz w:val="18"/>
              </w:rPr>
              <w:t>0.8156</w:t>
            </w:r>
          </w:p>
        </w:tc>
        <w:tc>
          <w:tcPr>
            <w:tcW w:type="dxa" w:w="2555"/>
          </w:tcPr>
          <w:p>
            <w:pPr>
              <w:jc w:val="center"/>
            </w:pPr>
            <w:r>
              <w:rPr>
                <w:rFonts w:ascii="Times New Roman" w:hAnsi="Times New Roman"/>
                <w:sz w:val="18"/>
              </w:rPr>
              <w:t>0.8195</w:t>
            </w:r>
          </w:p>
        </w:tc>
      </w:tr>
      <w:tr>
        <w:tc>
          <w:tcPr>
            <w:tcW w:type="dxa" w:w="2555"/>
          </w:tcPr>
          <w:p>
            <w:pPr>
              <w:jc w:val="center"/>
            </w:pPr>
            <w:r>
              <w:rPr>
                <w:rFonts w:ascii="Times New Roman" w:hAnsi="Times New Roman"/>
                <w:sz w:val="18"/>
              </w:rPr>
              <w:t>Negative</w:t>
            </w:r>
          </w:p>
        </w:tc>
        <w:tc>
          <w:tcPr>
            <w:tcW w:type="dxa" w:w="2555"/>
          </w:tcPr>
          <w:p>
            <w:pPr>
              <w:jc w:val="center"/>
            </w:pPr>
            <w:r>
              <w:rPr>
                <w:rFonts w:ascii="Times New Roman" w:hAnsi="Times New Roman"/>
                <w:sz w:val="18"/>
              </w:rPr>
              <w:t>0.8590</w:t>
            </w:r>
          </w:p>
        </w:tc>
        <w:tc>
          <w:tcPr>
            <w:tcW w:type="dxa" w:w="2555"/>
          </w:tcPr>
          <w:p>
            <w:pPr>
              <w:jc w:val="center"/>
            </w:pPr>
            <w:r>
              <w:rPr>
                <w:rFonts w:ascii="Times New Roman" w:hAnsi="Times New Roman"/>
                <w:sz w:val="18"/>
              </w:rPr>
              <w:t>0.8601</w:t>
            </w:r>
          </w:p>
        </w:tc>
        <w:tc>
          <w:tcPr>
            <w:tcW w:type="dxa" w:w="2555"/>
          </w:tcPr>
          <w:p>
            <w:pPr>
              <w:jc w:val="center"/>
            </w:pPr>
            <w:r>
              <w:rPr>
                <w:rFonts w:ascii="Times New Roman" w:hAnsi="Times New Roman"/>
                <w:sz w:val="18"/>
              </w:rPr>
              <w:t>0.8590</w:t>
            </w:r>
          </w:p>
        </w:tc>
      </w:tr>
    </w:tbl>
    <w:p>
      <w:pPr>
        <w:spacing w:after="120"/>
      </w:pPr>
    </w:p>
    <w:p>
      <w:pPr>
        <w:spacing w:after="80"/>
        <w:ind w:firstLine="283"/>
        <w:jc w:val="both"/>
      </w:pPr>
      <w:r>
        <w:rPr>
          <w:rFonts w:ascii="Times New Roman" w:hAnsi="Times New Roman"/>
          <w:sz w:val="20"/>
        </w:rPr>
        <w:t>The positive class achieves the highest F1-score (0.893), while neutral comments are most challenging due to inherent ambiguity in policy feedback language.</w:t>
      </w:r>
    </w:p>
    <w:p>
      <w:pPr>
        <w:spacing w:before="160" w:after="80"/>
      </w:pPr>
      <w:r>
        <w:rPr>
          <w:rFonts w:ascii="Times New Roman" w:hAnsi="Times New Roman"/>
          <w:i/>
          <w:sz w:val="20"/>
        </w:rPr>
        <w:t>C. Inference Performance</w:t>
      </w:r>
    </w:p>
    <w:p>
      <w:pPr>
        <w:spacing w:before="120" w:after="80"/>
        <w:jc w:val="center"/>
      </w:pPr>
      <w:r>
        <w:rPr>
          <w:rFonts w:ascii="Times New Roman" w:hAnsi="Times New Roman"/>
          <w:b/>
          <w:sz w:val="18"/>
        </w:rPr>
        <w:t>TABLE VI: SYSTEM PERFORMANCE</w:t>
      </w:r>
    </w:p>
    <w:tbl>
      <w:tblPr>
        <w:tblStyle w:val="TableGrid"/>
        <w:tblW w:type="auto" w:w="0"/>
        <w:jc w:val="center"/>
        <w:tblLook w:firstColumn="1" w:firstRow="1" w:lastColumn="0" w:lastRow="0" w:noHBand="0" w:noVBand="1" w:val="04A0"/>
      </w:tblPr>
      <w:tblGrid>
        <w:gridCol w:w="5111"/>
        <w:gridCol w:w="5111"/>
      </w:tblGrid>
      <w:tr>
        <w:tc>
          <w:tcPr>
            <w:tcW w:type="dxa" w:w="5111"/>
          </w:tcPr>
          <w:p>
            <w:pPr>
              <w:jc w:val="center"/>
            </w:pPr>
            <w:r>
              <w:rPr>
                <w:rFonts w:ascii="Times New Roman" w:hAnsi="Times New Roman"/>
                <w:b/>
                <w:sz w:val="18"/>
              </w:rPr>
              <w:t>Metric</w:t>
            </w:r>
          </w:p>
        </w:tc>
        <w:tc>
          <w:tcPr>
            <w:tcW w:type="dxa" w:w="5111"/>
          </w:tcPr>
          <w:p>
            <w:pPr>
              <w:jc w:val="center"/>
            </w:pPr>
            <w:r>
              <w:rPr>
                <w:rFonts w:ascii="Times New Roman" w:hAnsi="Times New Roman"/>
                <w:b/>
                <w:sz w:val="18"/>
              </w:rPr>
              <w:t>Value</w:t>
            </w:r>
          </w:p>
        </w:tc>
      </w:tr>
      <w:tr>
        <w:tc>
          <w:tcPr>
            <w:tcW w:type="dxa" w:w="5111"/>
          </w:tcPr>
          <w:p>
            <w:pPr>
              <w:jc w:val="center"/>
            </w:pPr>
            <w:r>
              <w:rPr>
                <w:rFonts w:ascii="Times New Roman" w:hAnsi="Times New Roman"/>
                <w:sz w:val="18"/>
              </w:rPr>
              <w:t>Model Load Time</w:t>
            </w:r>
          </w:p>
        </w:tc>
        <w:tc>
          <w:tcPr>
            <w:tcW w:type="dxa" w:w="5111"/>
          </w:tcPr>
          <w:p>
            <w:pPr>
              <w:jc w:val="center"/>
            </w:pPr>
            <w:r>
              <w:rPr>
                <w:rFonts w:ascii="Times New Roman" w:hAnsi="Times New Roman"/>
                <w:sz w:val="18"/>
              </w:rPr>
              <w:t>~8.7 seconds</w:t>
            </w:r>
          </w:p>
        </w:tc>
      </w:tr>
      <w:tr>
        <w:tc>
          <w:tcPr>
            <w:tcW w:type="dxa" w:w="5111"/>
          </w:tcPr>
          <w:p>
            <w:pPr>
              <w:jc w:val="center"/>
            </w:pPr>
            <w:r>
              <w:rPr>
                <w:rFonts w:ascii="Times New Roman" w:hAnsi="Times New Roman"/>
                <w:sz w:val="18"/>
              </w:rPr>
              <w:t>Throughput (GPU/MPS)</w:t>
            </w:r>
          </w:p>
        </w:tc>
        <w:tc>
          <w:tcPr>
            <w:tcW w:type="dxa" w:w="5111"/>
          </w:tcPr>
          <w:p>
            <w:pPr>
              <w:jc w:val="center"/>
            </w:pPr>
            <w:r>
              <w:rPr>
                <w:rFonts w:ascii="Times New Roman" w:hAnsi="Times New Roman"/>
                <w:sz w:val="18"/>
              </w:rPr>
              <w:t>~340 samples/sec</w:t>
            </w:r>
          </w:p>
        </w:tc>
      </w:tr>
      <w:tr>
        <w:tc>
          <w:tcPr>
            <w:tcW w:type="dxa" w:w="5111"/>
          </w:tcPr>
          <w:p>
            <w:pPr>
              <w:jc w:val="center"/>
            </w:pPr>
            <w:r>
              <w:rPr>
                <w:rFonts w:ascii="Times New Roman" w:hAnsi="Times New Roman"/>
                <w:sz w:val="18"/>
              </w:rPr>
              <w:t>1,000 Comments (end-to-end)</w:t>
            </w:r>
          </w:p>
        </w:tc>
        <w:tc>
          <w:tcPr>
            <w:tcW w:type="dxa" w:w="5111"/>
          </w:tcPr>
          <w:p>
            <w:pPr>
              <w:jc w:val="center"/>
            </w:pPr>
            <w:r>
              <w:rPr>
                <w:rFonts w:ascii="Times New Roman" w:hAnsi="Times New Roman"/>
                <w:sz w:val="18"/>
              </w:rPr>
              <w:t>&lt; 30 seconds</w:t>
            </w:r>
          </w:p>
        </w:tc>
      </w:tr>
      <w:tr>
        <w:tc>
          <w:tcPr>
            <w:tcW w:type="dxa" w:w="5111"/>
          </w:tcPr>
          <w:p>
            <w:pPr>
              <w:jc w:val="center"/>
            </w:pPr>
            <w:r>
              <w:rPr>
                <w:rFonts w:ascii="Times New Roman" w:hAnsi="Times New Roman"/>
                <w:sz w:val="18"/>
              </w:rPr>
              <w:t>Summarization (50 comments)</w:t>
            </w:r>
          </w:p>
        </w:tc>
        <w:tc>
          <w:tcPr>
            <w:tcW w:type="dxa" w:w="5111"/>
          </w:tcPr>
          <w:p>
            <w:pPr>
              <w:jc w:val="center"/>
            </w:pPr>
            <w:r>
              <w:rPr>
                <w:rFonts w:ascii="Times New Roman" w:hAnsi="Times New Roman"/>
                <w:sz w:val="18"/>
              </w:rPr>
              <w:t>~3 seconds</w:t>
            </w:r>
          </w:p>
        </w:tc>
      </w:tr>
      <w:tr>
        <w:tc>
          <w:tcPr>
            <w:tcW w:type="dxa" w:w="5111"/>
          </w:tcPr>
          <w:p>
            <w:pPr>
              <w:jc w:val="center"/>
            </w:pPr>
            <w:r>
              <w:rPr>
                <w:rFonts w:ascii="Times New Roman" w:hAnsi="Times New Roman"/>
                <w:sz w:val="18"/>
              </w:rPr>
              <w:t>Word Cloud Generation</w:t>
            </w:r>
          </w:p>
        </w:tc>
        <w:tc>
          <w:tcPr>
            <w:tcW w:type="dxa" w:w="5111"/>
          </w:tcPr>
          <w:p>
            <w:pPr>
              <w:jc w:val="center"/>
            </w:pPr>
            <w:r>
              <w:rPr>
                <w:rFonts w:ascii="Times New Roman" w:hAnsi="Times New Roman"/>
                <w:sz w:val="18"/>
              </w:rPr>
              <w:t>~200ms</w:t>
            </w:r>
          </w:p>
        </w:tc>
      </w:tr>
    </w:tbl>
    <w:p>
      <w:pPr>
        <w:spacing w:after="120"/>
      </w:pPr>
    </w:p>
    <w:p>
      <w:pPr>
        <w:spacing w:before="240" w:after="120"/>
        <w:jc w:val="center"/>
      </w:pPr>
      <w:r>
        <w:rPr>
          <w:rFonts w:ascii="Times New Roman" w:hAnsi="Times New Roman"/>
          <w:b/>
          <w:sz w:val="20"/>
        </w:rPr>
        <w:t>VII. DISCUSSION</w:t>
      </w:r>
    </w:p>
    <w:p>
      <w:pPr>
        <w:spacing w:after="80"/>
        <w:ind w:firstLine="283"/>
        <w:jc w:val="both"/>
      </w:pPr>
      <w:r>
        <w:rPr>
          <w:rFonts w:ascii="Times New Roman" w:hAnsi="Times New Roman"/>
          <w:sz w:val="20"/>
        </w:rPr>
        <w:t>The system directly addresses each requirement from MCA Problem Statement 25035. Sentiment analysis provides three-class classification with uncertainty flagging. Summary generation uses BART with chunk-based processing for accuracy. Word cloud visualization employs domain-specific filtering for meaningful keyword density representation.</w:t>
      </w:r>
    </w:p>
    <w:p>
      <w:pPr>
        <w:spacing w:after="80"/>
        <w:ind w:firstLine="283"/>
        <w:jc w:val="both"/>
      </w:pPr>
      <w:r>
        <w:rPr>
          <w:rFonts w:ascii="Times New Roman" w:hAnsi="Times New Roman"/>
          <w:sz w:val="20"/>
        </w:rPr>
        <w:t>The attention-based explainability feature is particularly important for government applications where AI decisions must be transparent. Policy analysts can inspect which words drove a classification, building trust in the system.</w:t>
      </w:r>
    </w:p>
    <w:p>
      <w:pPr>
        <w:spacing w:after="80"/>
        <w:ind w:firstLine="283"/>
        <w:jc w:val="both"/>
      </w:pPr>
      <w:r>
        <w:rPr>
          <w:rFonts w:ascii="Times New Roman" w:hAnsi="Times New Roman"/>
          <w:sz w:val="20"/>
        </w:rPr>
        <w:t>Limitations include: (1) the model uses general-purpose pre-training rather than MCA-specific fine-tuning, (2) attention explanations may not perfectly reflect internal reasoning, (3) English-only processing, and (4) summarization quality depends on input coherence.</w:t>
      </w:r>
    </w:p>
    <w:p>
      <w:pPr>
        <w:spacing w:before="240" w:after="120"/>
        <w:jc w:val="center"/>
      </w:pPr>
      <w:r>
        <w:rPr>
          <w:rFonts w:ascii="Times New Roman" w:hAnsi="Times New Roman"/>
          <w:b/>
          <w:sz w:val="20"/>
        </w:rPr>
        <w:t>VIII. CONCLUSION AND FUTURE WORK</w:t>
      </w:r>
    </w:p>
    <w:p>
      <w:pPr>
        <w:spacing w:after="80"/>
        <w:ind w:firstLine="283"/>
        <w:jc w:val="both"/>
      </w:pPr>
      <w:r>
        <w:rPr>
          <w:rFonts w:ascii="Times New Roman" w:hAnsi="Times New Roman"/>
          <w:sz w:val="20"/>
        </w:rPr>
        <w:t>This paper presented a production-grade, multi-model AI system for sentiment analysis of stakeholder feedback in the MCA eConsultation module. The system combines RoBERTa (F1 &gt; 0.85), BART with chunk-based summarization, and enhanced word cloud generation, with attention-based explainability for transparency. The uncertainty quantification mechanism ensures no stakeholder observation is overlooked.</w:t>
      </w:r>
    </w:p>
    <w:p>
      <w:pPr>
        <w:spacing w:after="80"/>
        <w:ind w:firstLine="283"/>
        <w:jc w:val="both"/>
      </w:pPr>
      <w:r>
        <w:rPr>
          <w:rFonts w:ascii="Times New Roman" w:hAnsi="Times New Roman"/>
          <w:sz w:val="20"/>
        </w:rPr>
        <w:t>Future work includes: (1) fine-tuning on MCA-specific labeled data, (2) SHAP-based explanations, (3) multilingual support for Hindi and regional languages, (4) aspect-based sentiment analysis for provision-level feedback, (5) Kafka integration for enterprise-scale processing, and (6) user studies with MCA policy analysts.</w:t>
      </w:r>
    </w:p>
    <w:p>
      <w:pPr>
        <w:spacing w:before="240" w:after="120"/>
        <w:jc w:val="center"/>
      </w:pPr>
      <w:r>
        <w:rPr>
          <w:rFonts w:ascii="Times New Roman" w:hAnsi="Times New Roman"/>
          <w:b/>
          <w:sz w:val="20"/>
        </w:rPr>
        <w:t>REFERENCES</w:t>
      </w:r>
    </w:p>
    <w:p>
      <w:pPr>
        <w:spacing w:after="40"/>
        <w:ind w:left="283" w:hanging="283"/>
      </w:pPr>
      <w:r>
        <w:rPr>
          <w:rFonts w:ascii="Times New Roman" w:hAnsi="Times New Roman"/>
          <w:sz w:val="18"/>
        </w:rPr>
        <w:t>[1] Ministry of Corporate Affairs, "Sentiment Analysis of Comments Received through E-Consultation Module," Problem Statement ID 25035, Smart India Hackathon, 2025.</w:t>
      </w:r>
    </w:p>
    <w:p>
      <w:pPr>
        <w:spacing w:after="40"/>
        <w:ind w:left="283" w:hanging="283"/>
      </w:pPr>
      <w:r>
        <w:rPr>
          <w:rFonts w:ascii="Times New Roman" w:hAnsi="Times New Roman"/>
          <w:sz w:val="18"/>
        </w:rPr>
        <w:t>[2] B. Pang and L. Lee, "Opinion Mining and Sentiment Analysis," Foundations and Trends in Information Retrieval, vol. 2, no. 1-2, pp. 1-135, 2008.</w:t>
      </w:r>
    </w:p>
    <w:p>
      <w:pPr>
        <w:spacing w:after="40"/>
        <w:ind w:left="283" w:hanging="283"/>
      </w:pPr>
      <w:r>
        <w:rPr>
          <w:rFonts w:ascii="Times New Roman" w:hAnsi="Times New Roman"/>
          <w:sz w:val="18"/>
        </w:rPr>
        <w:t>[3] Y. Charalabidis, A. Triantafillou, V. Karkaletsis, and E. Loukis, "Public Policy Formulation through Non-Moderated Crowdsourcing in Social Media," in Proc. EGOV, LNCS, vol. 7444, pp. 156-169, 2012.</w:t>
      </w:r>
    </w:p>
    <w:p>
      <w:pPr>
        <w:spacing w:after="40"/>
        <w:ind w:left="283" w:hanging="283"/>
      </w:pPr>
      <w:r>
        <w:rPr>
          <w:rFonts w:ascii="Times New Roman" w:hAnsi="Times New Roman"/>
          <w:sz w:val="18"/>
        </w:rPr>
        <w:t>[4] R. Medaglia, "eGovernment and eParticipation Research: A Bibliometric Analysis," Government Information Quarterly, vol. 29, no. 3, pp. 403-413, 2012.</w:t>
      </w:r>
    </w:p>
    <w:p>
      <w:pPr>
        <w:spacing w:after="40"/>
        <w:ind w:left="283" w:hanging="283"/>
      </w:pPr>
      <w:r>
        <w:rPr>
          <w:rFonts w:ascii="Times New Roman" w:hAnsi="Times New Roman"/>
          <w:sz w:val="18"/>
        </w:rPr>
        <w:t>[5] J. Devlin, M.-W. Chang, K. Lee, and K. Toutanova, "BERT: Pre-training of Deep Bidirectional Transformers for Language Understanding," in Proc. NAACL-HLT, pp. 4171-4186, 2019.</w:t>
      </w:r>
    </w:p>
    <w:p>
      <w:pPr>
        <w:spacing w:after="40"/>
        <w:ind w:left="283" w:hanging="283"/>
      </w:pPr>
      <w:r>
        <w:rPr>
          <w:rFonts w:ascii="Times New Roman" w:hAnsi="Times New Roman"/>
          <w:sz w:val="18"/>
        </w:rPr>
        <w:t>[6] Y. Liu et al., "RoBERTa: A Robustly Optimized BERT Pretraining Approach," arXiv:1907.11692, 2019.</w:t>
      </w:r>
    </w:p>
    <w:p>
      <w:pPr>
        <w:spacing w:after="40"/>
        <w:ind w:left="283" w:hanging="283"/>
      </w:pPr>
      <w:r>
        <w:rPr>
          <w:rFonts w:ascii="Times New Roman" w:hAnsi="Times New Roman"/>
          <w:sz w:val="18"/>
        </w:rPr>
        <w:t>[7] J. Howard and S. Ruder, "Universal Language Model Fine-tuning for Text Classification," in Proc. ACL, pp. 328-339, 2018.</w:t>
      </w:r>
    </w:p>
    <w:p>
      <w:pPr>
        <w:spacing w:after="40"/>
        <w:ind w:left="283" w:hanging="283"/>
      </w:pPr>
      <w:r>
        <w:rPr>
          <w:rFonts w:ascii="Times New Roman" w:hAnsi="Times New Roman"/>
          <w:sz w:val="18"/>
        </w:rPr>
        <w:t>[8] F. Barbieri, J. Camacho-Collados, L. Neves, and L. Espinosa-Anke, "TweetEval: Unified Benchmark and Comparative Evaluation for Tweet Classification," in Findings of EMNLP, pp. 1644-1650, 2020.</w:t>
      </w:r>
    </w:p>
    <w:p>
      <w:pPr>
        <w:spacing w:after="40"/>
        <w:ind w:left="283" w:hanging="283"/>
      </w:pPr>
      <w:r>
        <w:rPr>
          <w:rFonts w:ascii="Times New Roman" w:hAnsi="Times New Roman"/>
          <w:sz w:val="18"/>
        </w:rPr>
        <w:t>[9] M. Lewis et al., "BART: Denoising Sequence-to-Sequence Pre-training for Natural Language Generation, Translation, and Comprehension," in Proc. ACL, pp. 7871-7880, 2020.</w:t>
      </w:r>
    </w:p>
    <w:p>
      <w:pPr>
        <w:spacing w:after="40"/>
        <w:ind w:left="283" w:hanging="283"/>
      </w:pPr>
      <w:r>
        <w:rPr>
          <w:rFonts w:ascii="Times New Roman" w:hAnsi="Times New Roman"/>
          <w:sz w:val="18"/>
        </w:rPr>
        <w:t>[10] K. M. Hermann et al., "Teaching Machines to Read and Comprehend," in Proc. NeurIPS, pp. 1693-1701, 2015.</w:t>
      </w:r>
    </w:p>
    <w:p>
      <w:pPr>
        <w:spacing w:after="40"/>
        <w:ind w:left="283" w:hanging="283"/>
      </w:pPr>
      <w:r>
        <w:rPr>
          <w:rFonts w:ascii="Times New Roman" w:hAnsi="Times New Roman"/>
          <w:sz w:val="18"/>
        </w:rPr>
        <w:t>[11] European Commission, "Ethics Guidelines for Trustworthy AI," High-Level Expert Group on AI, 2019.</w:t>
      </w:r>
    </w:p>
    <w:p>
      <w:pPr>
        <w:spacing w:after="40"/>
        <w:ind w:left="283" w:hanging="283"/>
      </w:pPr>
      <w:r>
        <w:rPr>
          <w:rFonts w:ascii="Times New Roman" w:hAnsi="Times New Roman"/>
          <w:sz w:val="18"/>
        </w:rPr>
        <w:t>[12] M. T. Ribeiro, S. Singh, and C. Guestrin, "Why Should I Trust You?: Explaining the Predictions of Any Classifier," in Proc. KDD, pp. 1135-1144, 2016.</w:t>
      </w:r>
    </w:p>
    <w:p>
      <w:pPr>
        <w:spacing w:after="40"/>
        <w:ind w:left="283" w:hanging="283"/>
      </w:pPr>
      <w:r>
        <w:rPr>
          <w:rFonts w:ascii="Times New Roman" w:hAnsi="Times New Roman"/>
          <w:sz w:val="18"/>
        </w:rPr>
        <w:t>[13] S. M. Lundberg and S.-I. Lee, "A Unified Approach to Interpreting Model Predictions," in Proc. NeurIPS, pp. 4765-4774, 2017.</w:t>
      </w:r>
    </w:p>
    <w:p>
      <w:pPr>
        <w:spacing w:after="40"/>
        <w:ind w:left="283" w:hanging="283"/>
      </w:pPr>
      <w:r>
        <w:rPr>
          <w:rFonts w:ascii="Times New Roman" w:hAnsi="Times New Roman"/>
          <w:sz w:val="18"/>
        </w:rPr>
        <w:t>[14] S. Jain and B. C. Wallace, "Attention is not Explanation," in Proc. NAACL-HLT, pp. 3543-3556, 2019.</w:t>
      </w:r>
    </w:p>
    <w:p>
      <w:pPr>
        <w:spacing w:after="40"/>
        <w:ind w:left="283" w:hanging="283"/>
      </w:pPr>
      <w:r>
        <w:rPr>
          <w:rFonts w:ascii="Times New Roman" w:hAnsi="Times New Roman"/>
          <w:sz w:val="18"/>
        </w:rPr>
        <w:t>[15] S. Wiegreffe and Y. Pinter, "Attention is not not Explanation," in Proc. EMNLP-IJCNLP, pp. 11-20, 2019.</w:t>
      </w:r>
    </w:p>
    <w:p>
      <w:pPr>
        <w:spacing w:after="40"/>
        <w:ind w:left="283" w:hanging="283"/>
      </w:pPr>
      <w:r>
        <w:rPr>
          <w:rFonts w:ascii="Times New Roman" w:hAnsi="Times New Roman"/>
          <w:sz w:val="18"/>
        </w:rPr>
        <w:t>[16] A. Rogers, O. Kovaleva, and A. Rumshisky, "A Primer in BERTology: What We Know About How BERT Works," Trans. ACL, vol. 8, pp. 842-866, 2020.</w:t>
      </w:r>
    </w:p>
    <w:sectPr w:rsidR="00FC693F" w:rsidRPr="0006063C" w:rsidSect="00034616">
      <w:pgSz w:w="12240" w:h="15840"/>
      <w:pgMar w:top="1440" w:right="1009" w:bottom="1440"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