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3F8" w:rsidRPr="00D123F8" w:rsidRDefault="00D527C8" w:rsidP="00D123F8">
      <w:pPr>
        <w:spacing w:after="0" w:line="240" w:lineRule="auto"/>
        <w:outlineLvl w:val="0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MDW Cloud Mode</w:t>
      </w:r>
      <w:r w:rsidR="0010043E">
        <w:rPr>
          <w:rFonts w:eastAsia="Times New Roman" w:cs="Times New Roman"/>
          <w:b/>
          <w:sz w:val="36"/>
          <w:szCs w:val="36"/>
        </w:rPr>
        <w:t xml:space="preserve"> Considerations</w:t>
      </w:r>
    </w:p>
    <w:p w:rsidR="00D123F8" w:rsidRPr="00D123F8" w:rsidRDefault="00D123F8" w:rsidP="00D123F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123F8" w:rsidRPr="00D123F8" w:rsidRDefault="00D527C8" w:rsidP="00D123F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MDW </w:t>
      </w:r>
      <w:r w:rsidR="0001272A">
        <w:rPr>
          <w:rFonts w:eastAsia="Times New Roman" w:cs="Times New Roman"/>
          <w:sz w:val="24"/>
          <w:szCs w:val="24"/>
        </w:rPr>
        <w:t>applications deployed in Cloud Mode</w:t>
      </w:r>
      <w:r>
        <w:rPr>
          <w:rFonts w:eastAsia="Times New Roman" w:cs="Times New Roman"/>
          <w:sz w:val="24"/>
          <w:szCs w:val="24"/>
        </w:rPr>
        <w:t xml:space="preserve"> </w:t>
      </w:r>
      <w:r w:rsidR="0001272A">
        <w:rPr>
          <w:rFonts w:eastAsia="Times New Roman" w:cs="Times New Roman"/>
          <w:sz w:val="24"/>
          <w:szCs w:val="24"/>
        </w:rPr>
        <w:t xml:space="preserve">consist of business logic that's developed entirely in the form of workflow assets.  Examples of these assets include </w:t>
      </w:r>
      <w:r w:rsidR="009D0243">
        <w:rPr>
          <w:rFonts w:eastAsia="Times New Roman" w:cs="Times New Roman"/>
          <w:sz w:val="24"/>
          <w:szCs w:val="24"/>
        </w:rPr>
        <w:t xml:space="preserve">Processes, </w:t>
      </w:r>
      <w:r w:rsidR="0001272A">
        <w:rPr>
          <w:rFonts w:eastAsia="Times New Roman" w:cs="Times New Roman"/>
          <w:sz w:val="24"/>
          <w:szCs w:val="24"/>
        </w:rPr>
        <w:t>Rules, Pages, Scripts, Templates, Reports, Camel Routes,</w:t>
      </w:r>
      <w:r w:rsidR="009D0243">
        <w:rPr>
          <w:rFonts w:eastAsia="Times New Roman" w:cs="Times New Roman"/>
          <w:sz w:val="24"/>
          <w:szCs w:val="24"/>
        </w:rPr>
        <w:t xml:space="preserve"> Dynamic Java</w:t>
      </w:r>
      <w:r w:rsidR="00832AB9">
        <w:rPr>
          <w:rFonts w:eastAsia="Times New Roman" w:cs="Times New Roman"/>
          <w:sz w:val="24"/>
          <w:szCs w:val="24"/>
        </w:rPr>
        <w:t>,</w:t>
      </w:r>
      <w:r w:rsidR="009D0243">
        <w:rPr>
          <w:rFonts w:eastAsia="Times New Roman" w:cs="Times New Roman"/>
          <w:sz w:val="24"/>
          <w:szCs w:val="24"/>
        </w:rPr>
        <w:t xml:space="preserve"> and even </w:t>
      </w:r>
      <w:proofErr w:type="gramStart"/>
      <w:r w:rsidR="009D0243">
        <w:rPr>
          <w:rFonts w:eastAsia="Times New Roman" w:cs="Times New Roman"/>
          <w:sz w:val="24"/>
          <w:szCs w:val="24"/>
        </w:rPr>
        <w:t>Jar</w:t>
      </w:r>
      <w:proofErr w:type="gramEnd"/>
      <w:r w:rsidR="009D0243">
        <w:rPr>
          <w:rFonts w:eastAsia="Times New Roman" w:cs="Times New Roman"/>
          <w:sz w:val="24"/>
          <w:szCs w:val="24"/>
        </w:rPr>
        <w:t xml:space="preserve"> archives</w:t>
      </w:r>
      <w:r w:rsidR="0001272A">
        <w:rPr>
          <w:rFonts w:eastAsia="Times New Roman" w:cs="Times New Roman"/>
          <w:sz w:val="24"/>
          <w:szCs w:val="24"/>
        </w:rPr>
        <w:t>.  MDW supports the ability for clients to</w:t>
      </w:r>
      <w:r>
        <w:rPr>
          <w:rFonts w:eastAsia="Times New Roman" w:cs="Times New Roman"/>
          <w:sz w:val="24"/>
          <w:szCs w:val="24"/>
        </w:rPr>
        <w:t xml:space="preserve"> collaborate </w:t>
      </w:r>
      <w:r w:rsidR="0001272A">
        <w:rPr>
          <w:rFonts w:eastAsia="Times New Roman" w:cs="Times New Roman"/>
          <w:sz w:val="24"/>
          <w:szCs w:val="24"/>
        </w:rPr>
        <w:t>in developing</w:t>
      </w:r>
      <w:r>
        <w:rPr>
          <w:rFonts w:eastAsia="Times New Roman" w:cs="Times New Roman"/>
          <w:sz w:val="24"/>
          <w:szCs w:val="24"/>
        </w:rPr>
        <w:t xml:space="preserve"> workflow processes and assets without needing to install any </w:t>
      </w:r>
      <w:r w:rsidR="006058F9">
        <w:rPr>
          <w:rFonts w:eastAsia="Times New Roman" w:cs="Times New Roman"/>
          <w:sz w:val="24"/>
          <w:szCs w:val="24"/>
        </w:rPr>
        <w:t xml:space="preserve">local </w:t>
      </w:r>
      <w:r>
        <w:rPr>
          <w:rFonts w:eastAsia="Times New Roman" w:cs="Times New Roman"/>
          <w:sz w:val="24"/>
          <w:szCs w:val="24"/>
        </w:rPr>
        <w:t xml:space="preserve">infrastructure.  </w:t>
      </w:r>
      <w:r w:rsidR="00CA1201">
        <w:rPr>
          <w:rFonts w:eastAsia="Times New Roman" w:cs="Times New Roman"/>
          <w:sz w:val="24"/>
          <w:szCs w:val="24"/>
        </w:rPr>
        <w:t>To distinguish non-cloud mode we refer to this as Dedicated Mode.  It's important to note that this does</w:t>
      </w:r>
      <w:r w:rsidR="007C6F1F">
        <w:rPr>
          <w:rFonts w:eastAsia="Times New Roman" w:cs="Times New Roman"/>
          <w:sz w:val="24"/>
          <w:szCs w:val="24"/>
        </w:rPr>
        <w:t>n'</w:t>
      </w:r>
      <w:r w:rsidR="00CA1201">
        <w:rPr>
          <w:rFonts w:eastAsia="Times New Roman" w:cs="Times New Roman"/>
          <w:sz w:val="24"/>
          <w:szCs w:val="24"/>
        </w:rPr>
        <w:t xml:space="preserve">t mean that dedicated hardware is provisioned for non-cloud deployments (which are almost always hosted in a virtualized environment).  The distinction is more accurately understood as avoiding the need for a custom application deployable (such as an </w:t>
      </w:r>
      <w:r w:rsidR="0061708C">
        <w:rPr>
          <w:rFonts w:eastAsia="Times New Roman" w:cs="Times New Roman"/>
          <w:sz w:val="24"/>
          <w:szCs w:val="24"/>
        </w:rPr>
        <w:t xml:space="preserve">EAR file, WAR file, or OSGi bundle).  </w:t>
      </w:r>
      <w:r w:rsidR="00D123F8" w:rsidRPr="00D123F8">
        <w:rPr>
          <w:rFonts w:eastAsia="Times New Roman" w:cs="Times New Roman"/>
          <w:sz w:val="24"/>
          <w:szCs w:val="24"/>
        </w:rPr>
        <w:t>Cloud-based projects</w:t>
      </w:r>
      <w:r w:rsidR="00551487">
        <w:rPr>
          <w:rFonts w:eastAsia="Times New Roman" w:cs="Times New Roman"/>
          <w:sz w:val="24"/>
          <w:szCs w:val="24"/>
        </w:rPr>
        <w:t xml:space="preserve"> still</w:t>
      </w:r>
      <w:r w:rsidR="00D123F8" w:rsidRPr="00D123F8">
        <w:rPr>
          <w:rFonts w:eastAsia="Times New Roman" w:cs="Times New Roman"/>
          <w:sz w:val="24"/>
          <w:szCs w:val="24"/>
        </w:rPr>
        <w:t xml:space="preserve"> allow </w:t>
      </w:r>
      <w:r w:rsidR="00551487">
        <w:rPr>
          <w:rFonts w:eastAsia="Times New Roman" w:cs="Times New Roman"/>
          <w:sz w:val="24"/>
          <w:szCs w:val="24"/>
        </w:rPr>
        <w:t xml:space="preserve">users </w:t>
      </w:r>
      <w:r w:rsidR="00D123F8" w:rsidRPr="00D123F8">
        <w:rPr>
          <w:rFonts w:eastAsia="Times New Roman" w:cs="Times New Roman"/>
          <w:sz w:val="24"/>
          <w:szCs w:val="24"/>
        </w:rPr>
        <w:t>to deploy custom Java code</w:t>
      </w:r>
      <w:r w:rsidR="00551487">
        <w:rPr>
          <w:rFonts w:eastAsia="Times New Roman" w:cs="Times New Roman"/>
          <w:sz w:val="24"/>
          <w:szCs w:val="24"/>
        </w:rPr>
        <w:t xml:space="preserve">, but without any application deployment in the traditional sense.  Access controls are rigorously enforced through role-based authorization, with versioning, rollback and strict audit logging to ensure accountability.  </w:t>
      </w:r>
      <w:r w:rsidR="007C6F1F">
        <w:rPr>
          <w:rFonts w:eastAsia="Times New Roman" w:cs="Times New Roman"/>
          <w:sz w:val="24"/>
          <w:szCs w:val="24"/>
        </w:rPr>
        <w:t>To insulate workflow apps from others hosted in the same environment, c</w:t>
      </w:r>
      <w:r w:rsidR="00D123F8" w:rsidRPr="00D123F8">
        <w:rPr>
          <w:rFonts w:eastAsia="Times New Roman" w:cs="Times New Roman"/>
          <w:sz w:val="24"/>
          <w:szCs w:val="24"/>
        </w:rPr>
        <w:t>onfiguration settings for a cloud-based project apply at the workflow package level.</w:t>
      </w:r>
    </w:p>
    <w:p w:rsidR="00D123F8" w:rsidRPr="00D123F8" w:rsidRDefault="00D123F8" w:rsidP="00D123F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123F8" w:rsidRPr="00D123F8" w:rsidRDefault="00D123F8" w:rsidP="00D123F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123F8">
        <w:rPr>
          <w:rFonts w:eastAsia="Times New Roman" w:cs="Times New Roman"/>
          <w:sz w:val="24"/>
          <w:szCs w:val="24"/>
        </w:rPr>
        <w:t xml:space="preserve">To help </w:t>
      </w:r>
      <w:r w:rsidR="007C6F1F">
        <w:rPr>
          <w:rFonts w:eastAsia="Times New Roman" w:cs="Times New Roman"/>
          <w:sz w:val="24"/>
          <w:szCs w:val="24"/>
        </w:rPr>
        <w:t xml:space="preserve">guide the decision about which is the right development model </w:t>
      </w:r>
      <w:r w:rsidRPr="00D123F8">
        <w:rPr>
          <w:rFonts w:eastAsia="Times New Roman" w:cs="Times New Roman"/>
          <w:sz w:val="24"/>
          <w:szCs w:val="24"/>
        </w:rPr>
        <w:t>for</w:t>
      </w:r>
      <w:r w:rsidR="007C6F1F">
        <w:rPr>
          <w:rFonts w:eastAsia="Times New Roman" w:cs="Times New Roman"/>
          <w:sz w:val="24"/>
          <w:szCs w:val="24"/>
        </w:rPr>
        <w:t xml:space="preserve"> a particular </w:t>
      </w:r>
      <w:r w:rsidRPr="00D123F8">
        <w:rPr>
          <w:rFonts w:eastAsia="Times New Roman" w:cs="Times New Roman"/>
          <w:sz w:val="24"/>
          <w:szCs w:val="24"/>
        </w:rPr>
        <w:t xml:space="preserve">situation, the table below summarizes key differences between </w:t>
      </w:r>
      <w:r w:rsidR="007C6F1F">
        <w:rPr>
          <w:rFonts w:eastAsia="Times New Roman" w:cs="Times New Roman"/>
          <w:sz w:val="24"/>
          <w:szCs w:val="24"/>
        </w:rPr>
        <w:t>cloud and dedicated modes</w:t>
      </w:r>
      <w:r w:rsidRPr="00D123F8">
        <w:rPr>
          <w:rFonts w:eastAsia="Times New Roman" w:cs="Times New Roman"/>
          <w:sz w:val="24"/>
          <w:szCs w:val="24"/>
        </w:rPr>
        <w:t xml:space="preserve">.  In general, if your project involves </w:t>
      </w:r>
      <w:r w:rsidR="00653203">
        <w:rPr>
          <w:rFonts w:eastAsia="Times New Roman" w:cs="Times New Roman"/>
          <w:sz w:val="24"/>
          <w:szCs w:val="24"/>
        </w:rPr>
        <w:t xml:space="preserve">an </w:t>
      </w:r>
      <w:r w:rsidRPr="00D123F8">
        <w:rPr>
          <w:rFonts w:eastAsia="Times New Roman" w:cs="Times New Roman"/>
          <w:sz w:val="24"/>
          <w:szCs w:val="24"/>
        </w:rPr>
        <w:t xml:space="preserve">extensive </w:t>
      </w:r>
      <w:r w:rsidR="00653203">
        <w:rPr>
          <w:rFonts w:eastAsia="Times New Roman" w:cs="Times New Roman"/>
          <w:sz w:val="24"/>
          <w:szCs w:val="24"/>
        </w:rPr>
        <w:t>existing codebase</w:t>
      </w:r>
      <w:r w:rsidRPr="00D123F8">
        <w:rPr>
          <w:rFonts w:eastAsia="Times New Roman" w:cs="Times New Roman"/>
          <w:sz w:val="24"/>
          <w:szCs w:val="24"/>
        </w:rPr>
        <w:t xml:space="preserve"> </w:t>
      </w:r>
      <w:r w:rsidR="00076D6B">
        <w:rPr>
          <w:rFonts w:eastAsia="Times New Roman" w:cs="Times New Roman"/>
          <w:sz w:val="24"/>
          <w:szCs w:val="24"/>
        </w:rPr>
        <w:t xml:space="preserve">or </w:t>
      </w:r>
      <w:r w:rsidR="00653203">
        <w:rPr>
          <w:rFonts w:eastAsia="Times New Roman" w:cs="Times New Roman"/>
          <w:sz w:val="24"/>
          <w:szCs w:val="24"/>
        </w:rPr>
        <w:t xml:space="preserve">needs </w:t>
      </w:r>
      <w:r w:rsidR="00076D6B">
        <w:rPr>
          <w:rFonts w:eastAsia="Times New Roman" w:cs="Times New Roman"/>
          <w:sz w:val="24"/>
          <w:szCs w:val="24"/>
        </w:rPr>
        <w:t xml:space="preserve">direct access to container resources, </w:t>
      </w:r>
      <w:r w:rsidRPr="00D123F8">
        <w:rPr>
          <w:rFonts w:eastAsia="Times New Roman" w:cs="Times New Roman"/>
          <w:sz w:val="24"/>
          <w:szCs w:val="24"/>
        </w:rPr>
        <w:t xml:space="preserve">you should consider choosing the </w:t>
      </w:r>
      <w:r w:rsidR="007C6F1F">
        <w:rPr>
          <w:rFonts w:eastAsia="Times New Roman" w:cs="Times New Roman"/>
          <w:sz w:val="24"/>
          <w:szCs w:val="24"/>
        </w:rPr>
        <w:t xml:space="preserve">dedicated </w:t>
      </w:r>
      <w:r w:rsidRPr="00D123F8">
        <w:rPr>
          <w:rFonts w:eastAsia="Times New Roman" w:cs="Times New Roman"/>
          <w:sz w:val="24"/>
          <w:szCs w:val="24"/>
        </w:rPr>
        <w:t xml:space="preserve">deployment model; otherwise you may prefer the simplicity and rapid startup </w:t>
      </w:r>
      <w:r w:rsidR="006058F9">
        <w:rPr>
          <w:rFonts w:eastAsia="Times New Roman" w:cs="Times New Roman"/>
          <w:sz w:val="24"/>
          <w:szCs w:val="24"/>
        </w:rPr>
        <w:t>afforded</w:t>
      </w:r>
      <w:r w:rsidRPr="00D123F8">
        <w:rPr>
          <w:rFonts w:eastAsia="Times New Roman" w:cs="Times New Roman"/>
          <w:sz w:val="24"/>
          <w:szCs w:val="24"/>
        </w:rPr>
        <w:t xml:space="preserve"> by the </w:t>
      </w:r>
      <w:r w:rsidR="007C6F1F">
        <w:rPr>
          <w:rFonts w:eastAsia="Times New Roman" w:cs="Times New Roman"/>
          <w:sz w:val="24"/>
          <w:szCs w:val="24"/>
        </w:rPr>
        <w:t>cloud</w:t>
      </w:r>
      <w:r w:rsidRPr="00D123F8">
        <w:rPr>
          <w:rFonts w:eastAsia="Times New Roman" w:cs="Times New Roman"/>
          <w:sz w:val="24"/>
          <w:szCs w:val="24"/>
        </w:rPr>
        <w:t xml:space="preserve"> model.  Either way, this decision is strictly a design-time issue.  At runtime </w:t>
      </w:r>
      <w:r w:rsidR="007C6F1F">
        <w:rPr>
          <w:rFonts w:eastAsia="Times New Roman" w:cs="Times New Roman"/>
          <w:sz w:val="24"/>
          <w:szCs w:val="24"/>
        </w:rPr>
        <w:t>workflows are processed by the MDW engine in exactly the same way regardless of the</w:t>
      </w:r>
      <w:r w:rsidR="006058F9">
        <w:rPr>
          <w:rFonts w:eastAsia="Times New Roman" w:cs="Times New Roman"/>
          <w:sz w:val="24"/>
          <w:szCs w:val="24"/>
        </w:rPr>
        <w:t xml:space="preserve"> </w:t>
      </w:r>
      <w:r w:rsidR="007C6F1F">
        <w:rPr>
          <w:rFonts w:eastAsia="Times New Roman" w:cs="Times New Roman"/>
          <w:sz w:val="24"/>
          <w:szCs w:val="24"/>
        </w:rPr>
        <w:t>model used to create them</w:t>
      </w:r>
      <w:r w:rsidRPr="00D123F8">
        <w:rPr>
          <w:rFonts w:eastAsia="Times New Roman" w:cs="Times New Roman"/>
          <w:sz w:val="24"/>
          <w:szCs w:val="24"/>
        </w:rPr>
        <w:t>.</w:t>
      </w:r>
    </w:p>
    <w:p w:rsidR="00D123F8" w:rsidRPr="00D123F8" w:rsidRDefault="00D123F8" w:rsidP="00D123F8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D123F8" w:rsidRPr="00D123F8" w:rsidRDefault="00D123F8" w:rsidP="00D123F8">
      <w:pPr>
        <w:spacing w:after="0" w:line="240" w:lineRule="auto"/>
        <w:rPr>
          <w:rFonts w:eastAsia="Times New Roman" w:cs="Times New Roman"/>
          <w:b/>
          <w:sz w:val="28"/>
          <w:szCs w:val="28"/>
          <w:u w:val="single"/>
        </w:rPr>
      </w:pPr>
    </w:p>
    <w:tbl>
      <w:tblPr>
        <w:tblW w:w="0" w:type="auto"/>
        <w:tblInd w:w="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2928"/>
        <w:gridCol w:w="3034"/>
        <w:gridCol w:w="3016"/>
      </w:tblGrid>
      <w:tr w:rsidR="00DD14CF" w:rsidRPr="00D123F8" w:rsidTr="000C46EF">
        <w:tc>
          <w:tcPr>
            <w:tcW w:w="2928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3F8" w:rsidRPr="00D123F8" w:rsidRDefault="00FE77F6" w:rsidP="00FE77F6">
            <w:pPr>
              <w:spacing w:after="0" w:line="480" w:lineRule="auto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Cloud </w:t>
            </w:r>
            <w:r w:rsidR="00D123F8" w:rsidRPr="00D123F8">
              <w:rPr>
                <w:rFonts w:eastAsia="Times New Roman" w:cs="Times New Roman"/>
                <w:b/>
                <w:sz w:val="28"/>
                <w:szCs w:val="28"/>
              </w:rPr>
              <w:t xml:space="preserve">Versus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Dedicated</w:t>
            </w:r>
          </w:p>
        </w:tc>
        <w:tc>
          <w:tcPr>
            <w:tcW w:w="6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D123F8" w:rsidP="007120D4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123F8">
              <w:rPr>
                <w:rFonts w:eastAsia="Times New Roman" w:cs="Times New Roman"/>
                <w:b/>
                <w:sz w:val="28"/>
                <w:szCs w:val="28"/>
              </w:rPr>
              <w:t xml:space="preserve">MDW </w:t>
            </w:r>
            <w:r w:rsidR="00FE77F6">
              <w:rPr>
                <w:rFonts w:eastAsia="Times New Roman" w:cs="Times New Roman"/>
                <w:b/>
                <w:sz w:val="28"/>
                <w:szCs w:val="28"/>
              </w:rPr>
              <w:t xml:space="preserve">BPM </w:t>
            </w:r>
            <w:r w:rsidR="007120D4">
              <w:rPr>
                <w:rFonts w:eastAsia="Times New Roman" w:cs="Times New Roman"/>
                <w:b/>
                <w:sz w:val="28"/>
                <w:szCs w:val="28"/>
              </w:rPr>
              <w:t>Deployment</w:t>
            </w:r>
          </w:p>
        </w:tc>
      </w:tr>
      <w:tr w:rsidR="00006D31" w:rsidRPr="00D123F8" w:rsidTr="000C46EF"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3F8" w:rsidRPr="00D123F8" w:rsidRDefault="00D123F8" w:rsidP="00D123F8">
            <w:pPr>
              <w:spacing w:after="0" w:line="240" w:lineRule="auto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FE77F6" w:rsidP="00FE77F6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Cloud Mode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FE77F6" w:rsidP="00FE77F6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Dedicated Mode</w:t>
            </w:r>
          </w:p>
        </w:tc>
      </w:tr>
      <w:tr w:rsidR="00006D31" w:rsidRPr="00D123F8" w:rsidTr="000C46EF">
        <w:trPr>
          <w:trHeight w:val="855"/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D123F8" w:rsidP="00D123F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D123F8">
              <w:rPr>
                <w:rFonts w:eastAsia="Times New Roman" w:cs="Times New Roman"/>
                <w:b/>
                <w:sz w:val="24"/>
                <w:szCs w:val="24"/>
              </w:rPr>
              <w:t>Custom Code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Default="00D123F8" w:rsidP="00420DB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23F8">
              <w:rPr>
                <w:rFonts w:eastAsia="Times New Roman" w:cs="Times New Roman"/>
                <w:sz w:val="24"/>
                <w:szCs w:val="24"/>
              </w:rPr>
              <w:t>Through Dyn</w:t>
            </w:r>
            <w:r w:rsidR="00FE77F6">
              <w:rPr>
                <w:rFonts w:eastAsia="Times New Roman" w:cs="Times New Roman"/>
                <w:sz w:val="24"/>
                <w:szCs w:val="24"/>
              </w:rPr>
              <w:t>amic Java</w:t>
            </w:r>
            <w:r w:rsidR="00420DB7">
              <w:rPr>
                <w:rFonts w:eastAsia="Times New Roman" w:cs="Times New Roman"/>
                <w:sz w:val="24"/>
                <w:szCs w:val="24"/>
              </w:rPr>
              <w:t xml:space="preserve"> all aspects of MDW extensibility are supported.  This includes</w:t>
            </w:r>
            <w:r w:rsidR="00FE77F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420DB7">
              <w:rPr>
                <w:rFonts w:eastAsia="Times New Roman" w:cs="Times New Roman"/>
                <w:sz w:val="24"/>
                <w:szCs w:val="24"/>
              </w:rPr>
              <w:t>Activity Implementors, Event Handlers.  Registered services such as Scheduled Jobs are configured through Java Annotations.</w:t>
            </w:r>
          </w:p>
          <w:p w:rsidR="00FC5E87" w:rsidRPr="00D123F8" w:rsidRDefault="00FC5E87" w:rsidP="00420DB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Application and third-party code can also be deployed </w:t>
            </w:r>
            <w:r>
              <w:rPr>
                <w:rFonts w:eastAsia="Times New Roman" w:cs="Times New Roman"/>
                <w:sz w:val="24"/>
                <w:szCs w:val="24"/>
              </w:rPr>
              <w:lastRenderedPageBreak/>
              <w:t>as Jars assets.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420DB7" w:rsidP="00420DB7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Client app maintains its own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deployables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, such as EAR, WAR, or OSGi bundles.  MDW features are accessed through libraries and the Service Registry.</w:t>
            </w:r>
          </w:p>
        </w:tc>
      </w:tr>
      <w:tr w:rsidR="00006D31" w:rsidRPr="00D123F8" w:rsidTr="000C46EF">
        <w:trPr>
          <w:trHeight w:val="855"/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D123F8" w:rsidP="00D123F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D123F8"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Web Pages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D123F8" w:rsidP="00D123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23F8">
              <w:rPr>
                <w:rFonts w:eastAsia="Times New Roman" w:cs="Times New Roman"/>
                <w:sz w:val="24"/>
                <w:szCs w:val="24"/>
              </w:rPr>
              <w:t>Cloud</w:t>
            </w:r>
            <w:r w:rsidR="00FE77F6">
              <w:rPr>
                <w:rFonts w:eastAsia="Times New Roman" w:cs="Times New Roman"/>
                <w:sz w:val="24"/>
                <w:szCs w:val="24"/>
              </w:rPr>
              <w:t>-based</w:t>
            </w:r>
            <w:r w:rsidRPr="00D123F8">
              <w:rPr>
                <w:rFonts w:eastAsia="Times New Roman" w:cs="Times New Roman"/>
                <w:sz w:val="24"/>
                <w:szCs w:val="24"/>
              </w:rPr>
              <w:t xml:space="preserve"> Pages with custom Managed Beans</w:t>
            </w:r>
            <w:r w:rsidR="00420DB7">
              <w:rPr>
                <w:rFonts w:eastAsia="Times New Roman" w:cs="Times New Roman"/>
                <w:sz w:val="24"/>
                <w:szCs w:val="24"/>
              </w:rPr>
              <w:t>.</w:t>
            </w:r>
            <w:r w:rsidR="00653203">
              <w:rPr>
                <w:rFonts w:eastAsia="Times New Roman" w:cs="Times New Roman"/>
                <w:sz w:val="24"/>
                <w:szCs w:val="24"/>
              </w:rPr>
              <w:t xml:space="preserve">  Web resources such as stylesheets and </w:t>
            </w:r>
            <w:proofErr w:type="spellStart"/>
            <w:r w:rsidR="00653203">
              <w:rPr>
                <w:rFonts w:eastAsia="Times New Roman" w:cs="Times New Roman"/>
                <w:sz w:val="24"/>
                <w:szCs w:val="24"/>
              </w:rPr>
              <w:t>javascript</w:t>
            </w:r>
            <w:proofErr w:type="spellEnd"/>
            <w:r w:rsidR="00653203">
              <w:rPr>
                <w:rFonts w:eastAsia="Times New Roman" w:cs="Times New Roman"/>
                <w:sz w:val="24"/>
                <w:szCs w:val="24"/>
              </w:rPr>
              <w:t xml:space="preserve"> are stored as workflow assets.</w:t>
            </w:r>
            <w:r w:rsidR="00420DB7">
              <w:rPr>
                <w:rFonts w:eastAsia="Times New Roman" w:cs="Times New Roman"/>
                <w:sz w:val="24"/>
                <w:szCs w:val="24"/>
              </w:rPr>
              <w:t xml:space="preserve">  Can encompass an entire custom WebApp.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653203" w:rsidP="0065320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MDW web components and features are embedded in a client app's WAR archive.  Reusable templates, stylesheets and scripts are directly embedded in the client WAR.</w:t>
            </w:r>
          </w:p>
        </w:tc>
      </w:tr>
      <w:tr w:rsidR="00006D31" w:rsidRPr="00D123F8" w:rsidTr="000C46EF">
        <w:trPr>
          <w:trHeight w:val="855"/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D123F8" w:rsidP="00D123F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D123F8">
              <w:rPr>
                <w:rFonts w:eastAsia="Times New Roman" w:cs="Times New Roman"/>
                <w:b/>
                <w:sz w:val="24"/>
                <w:szCs w:val="24"/>
              </w:rPr>
              <w:t>Configuration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D123F8" w:rsidP="00D123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23F8">
              <w:rPr>
                <w:rFonts w:eastAsia="Times New Roman" w:cs="Times New Roman"/>
                <w:sz w:val="24"/>
                <w:szCs w:val="24"/>
              </w:rPr>
              <w:t>Settings apply at workflow package level</w:t>
            </w:r>
            <w:r w:rsidR="00940279">
              <w:rPr>
                <w:rFonts w:eastAsia="Times New Roman" w:cs="Times New Roman"/>
                <w:sz w:val="24"/>
                <w:szCs w:val="24"/>
              </w:rPr>
              <w:t xml:space="preserve"> (with global settings as fallback).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FE77F6" w:rsidP="00FE77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Global MDW settings are customized</w:t>
            </w:r>
            <w:r w:rsidR="00653203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</w:tr>
      <w:tr w:rsidR="003B4256" w:rsidRPr="00D123F8" w:rsidTr="000C46EF">
        <w:trPr>
          <w:trHeight w:val="855"/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256" w:rsidRPr="00D123F8" w:rsidRDefault="003B4256" w:rsidP="00D123F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Auth. Control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256" w:rsidRPr="00D123F8" w:rsidRDefault="003B4256" w:rsidP="00D123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Package visibility limited by group membership.  Assets strictly controlled by role-base authorization and audit logging.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256" w:rsidRDefault="003B4256" w:rsidP="000C46E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Assets governed as in Cloud Mode.  </w:t>
            </w:r>
            <w:r w:rsidR="000C46EF">
              <w:rPr>
                <w:rFonts w:eastAsia="Times New Roman" w:cs="Times New Roman"/>
                <w:sz w:val="24"/>
                <w:szCs w:val="24"/>
              </w:rPr>
              <w:t xml:space="preserve">Changes to </w:t>
            </w:r>
            <w:proofErr w:type="spellStart"/>
            <w:r w:rsidR="000C46EF">
              <w:rPr>
                <w:rFonts w:eastAsia="Times New Roman" w:cs="Times New Roman"/>
                <w:sz w:val="24"/>
                <w:szCs w:val="24"/>
              </w:rPr>
              <w:t>d</w:t>
            </w:r>
            <w:r>
              <w:rPr>
                <w:rFonts w:eastAsia="Times New Roman" w:cs="Times New Roman"/>
                <w:sz w:val="24"/>
                <w:szCs w:val="24"/>
              </w:rPr>
              <w:t>eployables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require file system access as well.</w:t>
            </w:r>
          </w:p>
        </w:tc>
      </w:tr>
      <w:tr w:rsidR="00006D31" w:rsidRPr="00D123F8" w:rsidTr="000C46EF">
        <w:trPr>
          <w:trHeight w:val="855"/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203" w:rsidRPr="00D123F8" w:rsidRDefault="000C46EF" w:rsidP="00D123F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C</w:t>
            </w:r>
            <w:r w:rsidR="00DD14CF">
              <w:rPr>
                <w:rFonts w:eastAsia="Times New Roman" w:cs="Times New Roman"/>
                <w:b/>
                <w:sz w:val="24"/>
                <w:szCs w:val="24"/>
              </w:rPr>
              <w:t>ontainer Resources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203" w:rsidRPr="00D123F8" w:rsidRDefault="00DD14CF" w:rsidP="00DD14C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Standard MDW JDBC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DataSource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and JMS Queues.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203" w:rsidRDefault="00DD14CF" w:rsidP="00FE77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Custom application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DataSource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and JMS Queues for external access.</w:t>
            </w:r>
            <w:r w:rsidR="003B4256">
              <w:rPr>
                <w:rFonts w:eastAsia="Times New Roman" w:cs="Times New Roman"/>
                <w:sz w:val="24"/>
                <w:szCs w:val="24"/>
              </w:rPr>
              <w:t xml:space="preserve">  Custom JMS broker config.</w:t>
            </w:r>
          </w:p>
        </w:tc>
      </w:tr>
      <w:tr w:rsidR="00DD14CF" w:rsidRPr="00D123F8" w:rsidTr="000C46EF">
        <w:trPr>
          <w:trHeight w:val="855"/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4CF" w:rsidRDefault="00DD14CF" w:rsidP="00DD14CF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Web Services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4CF" w:rsidRDefault="00DD14CF" w:rsidP="00DD14C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SOAP and REST services configured through standard MDW context root, or through Camel route assets.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14CF" w:rsidRDefault="00DD14CF" w:rsidP="00FE77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Application-managed web contexts</w:t>
            </w:r>
            <w:r w:rsidR="00CB3BC3">
              <w:rPr>
                <w:rFonts w:eastAsia="Times New Roman" w:cs="Times New Roman"/>
                <w:sz w:val="24"/>
                <w:szCs w:val="24"/>
              </w:rPr>
              <w:t>, with the option of custom listeners for exotic use cases.</w:t>
            </w:r>
          </w:p>
        </w:tc>
      </w:tr>
      <w:tr w:rsidR="00006D31" w:rsidRPr="00D123F8" w:rsidTr="000C46EF">
        <w:trPr>
          <w:trHeight w:val="855"/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31" w:rsidRDefault="00006D31" w:rsidP="00DD14CF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TIBCO RVD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31" w:rsidRDefault="00006D31" w:rsidP="00006D3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Listener limited to a single Bus URI.  Adapters can consume any number of external services.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6D31" w:rsidRDefault="00006D31" w:rsidP="00FE77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Supports dedicated BusResponders.xml configuration (needed for hosting multiple URIs and for certified messaging).</w:t>
            </w:r>
          </w:p>
        </w:tc>
      </w:tr>
      <w:tr w:rsidR="003B4256" w:rsidRPr="00D123F8" w:rsidTr="000C46EF">
        <w:trPr>
          <w:trHeight w:val="855"/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256" w:rsidRDefault="003B4256" w:rsidP="00DD14CF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sz w:val="24"/>
                <w:szCs w:val="24"/>
              </w:rPr>
              <w:t>Testing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256" w:rsidRDefault="003B4256" w:rsidP="006F410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Dynamic Java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JUnit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eastAsia="Times New Roman" w:cs="Times New Roman"/>
                <w:sz w:val="24"/>
                <w:szCs w:val="24"/>
              </w:rPr>
              <w:t>tests,</w:t>
            </w:r>
            <w:proofErr w:type="gramEnd"/>
            <w:r>
              <w:rPr>
                <w:rFonts w:eastAsia="Times New Roman" w:cs="Times New Roman"/>
                <w:sz w:val="24"/>
                <w:szCs w:val="24"/>
              </w:rPr>
              <w:t xml:space="preserve"> and MDW </w:t>
            </w:r>
            <w:r w:rsidR="006F4100">
              <w:rPr>
                <w:rFonts w:eastAsia="Times New Roman" w:cs="Times New Roman"/>
                <w:sz w:val="24"/>
                <w:szCs w:val="24"/>
              </w:rPr>
              <w:t>function/Cucumber</w:t>
            </w:r>
            <w:r>
              <w:rPr>
                <w:rFonts w:eastAsia="Times New Roman" w:cs="Times New Roman"/>
                <w:sz w:val="24"/>
                <w:szCs w:val="24"/>
              </w:rPr>
              <w:t>/load test facility.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4256" w:rsidRDefault="003B4256" w:rsidP="00FE77F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Other, non-standard unit and regression test frameworks.</w:t>
            </w:r>
          </w:p>
        </w:tc>
      </w:tr>
      <w:tr w:rsidR="00006D31" w:rsidRPr="00D123F8" w:rsidTr="000C46EF">
        <w:trPr>
          <w:trHeight w:val="855"/>
        </w:trPr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D123F8" w:rsidP="00D123F8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D123F8"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Debugging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653203" w:rsidP="0065320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Developers can create a local cloud project running on Tomcat</w:t>
            </w:r>
            <w:r w:rsidR="006F4100">
              <w:rPr>
                <w:rFonts w:eastAsia="Times New Roman" w:cs="Times New Roman"/>
                <w:sz w:val="24"/>
                <w:szCs w:val="24"/>
              </w:rPr>
              <w:t xml:space="preserve"> or push to Cloud Foundry.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3F8" w:rsidRPr="00D123F8" w:rsidRDefault="00D123F8" w:rsidP="00D123F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123F8">
              <w:rPr>
                <w:rFonts w:eastAsia="Times New Roman" w:cs="Times New Roman"/>
                <w:sz w:val="24"/>
                <w:szCs w:val="24"/>
              </w:rPr>
              <w:t>Local, dedicated debug session</w:t>
            </w:r>
            <w:r w:rsidR="00FE77F6">
              <w:rPr>
                <w:rFonts w:eastAsia="Times New Roman" w:cs="Times New Roman"/>
                <w:sz w:val="24"/>
                <w:szCs w:val="24"/>
              </w:rPr>
              <w:t>s</w:t>
            </w:r>
          </w:p>
        </w:tc>
      </w:tr>
    </w:tbl>
    <w:p w:rsidR="00D123F8" w:rsidRPr="00D123F8" w:rsidRDefault="00D123F8" w:rsidP="00D123F8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D123F8">
        <w:rPr>
          <w:rFonts w:eastAsia="Times New Roman" w:cs="Times New Roman"/>
          <w:sz w:val="24"/>
          <w:szCs w:val="24"/>
        </w:rPr>
        <w:t xml:space="preserve"> </w:t>
      </w:r>
    </w:p>
    <w:p w:rsidR="00546B15" w:rsidRDefault="00546B15"/>
    <w:sectPr w:rsidR="00546B15" w:rsidSect="0054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3F8"/>
    <w:rsid w:val="00006D31"/>
    <w:rsid w:val="0001272A"/>
    <w:rsid w:val="00033E97"/>
    <w:rsid w:val="00071040"/>
    <w:rsid w:val="00076D6B"/>
    <w:rsid w:val="000C46EF"/>
    <w:rsid w:val="0010043E"/>
    <w:rsid w:val="001116A3"/>
    <w:rsid w:val="001C28C5"/>
    <w:rsid w:val="001D0F60"/>
    <w:rsid w:val="00235E73"/>
    <w:rsid w:val="0026664C"/>
    <w:rsid w:val="003B4256"/>
    <w:rsid w:val="003D0A3A"/>
    <w:rsid w:val="003F6769"/>
    <w:rsid w:val="00410B8B"/>
    <w:rsid w:val="00420DB7"/>
    <w:rsid w:val="005057FB"/>
    <w:rsid w:val="00533AFA"/>
    <w:rsid w:val="00546B15"/>
    <w:rsid w:val="00551487"/>
    <w:rsid w:val="00566709"/>
    <w:rsid w:val="0058786A"/>
    <w:rsid w:val="006028D5"/>
    <w:rsid w:val="006058F9"/>
    <w:rsid w:val="0061708C"/>
    <w:rsid w:val="00653203"/>
    <w:rsid w:val="00657F3A"/>
    <w:rsid w:val="006C2719"/>
    <w:rsid w:val="006F4100"/>
    <w:rsid w:val="007120D4"/>
    <w:rsid w:val="007C6F1F"/>
    <w:rsid w:val="00832AB9"/>
    <w:rsid w:val="0084128F"/>
    <w:rsid w:val="00867CF9"/>
    <w:rsid w:val="00940279"/>
    <w:rsid w:val="009B3EA0"/>
    <w:rsid w:val="009D0243"/>
    <w:rsid w:val="00A71440"/>
    <w:rsid w:val="00AB74B0"/>
    <w:rsid w:val="00BA4EAB"/>
    <w:rsid w:val="00BF66CB"/>
    <w:rsid w:val="00CA1201"/>
    <w:rsid w:val="00CB3BC3"/>
    <w:rsid w:val="00D123F8"/>
    <w:rsid w:val="00D527C8"/>
    <w:rsid w:val="00DD14CF"/>
    <w:rsid w:val="00DF4E99"/>
    <w:rsid w:val="00E00B1B"/>
    <w:rsid w:val="00E21FDD"/>
    <w:rsid w:val="00E2507A"/>
    <w:rsid w:val="00E432B5"/>
    <w:rsid w:val="00EF57A4"/>
    <w:rsid w:val="00F8301D"/>
    <w:rsid w:val="00FC5E87"/>
    <w:rsid w:val="00FD7B07"/>
    <w:rsid w:val="00FE7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CenturyLink</Company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MDW Cloud Mode Considerations</dc:title>
  <dc:creator>CenturyLink Employee</dc:creator>
  <cp:lastModifiedBy>CenturyLink Employee</cp:lastModifiedBy>
  <cp:revision>18</cp:revision>
  <dcterms:created xsi:type="dcterms:W3CDTF">2014-06-05T17:58:00Z</dcterms:created>
  <dcterms:modified xsi:type="dcterms:W3CDTF">2016-04-25T16:26:00Z</dcterms:modified>
</cp:coreProperties>
</file>