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BB9E" w14:textId="77777777" w:rsidR="000B59BA" w:rsidRPr="00923440" w:rsidRDefault="000B59BA" w:rsidP="00414FFC">
      <w:pPr>
        <w:jc w:val="cente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NOTA CONCEPTUAL</w:t>
      </w:r>
    </w:p>
    <w:p w14:paraId="6D35D93F" w14:textId="610AC154" w:rsidR="000B59BA" w:rsidRPr="00923440" w:rsidRDefault="000B59BA" w:rsidP="00414FFC">
      <w:pPr>
        <w:jc w:val="cente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Revisión de la producción de la CEPAL sobre cambio climático (2015–2025) como insumo para el curso</w:t>
      </w:r>
      <w:r w:rsidR="005A7E7B" w:rsidRPr="00923440">
        <w:rPr>
          <w:rFonts w:ascii="Times New Roman" w:eastAsia="Times New Roman" w:hAnsi="Times New Roman" w:cs="Times New Roman"/>
          <w:b/>
          <w:bCs/>
          <w:color w:val="1A1919"/>
          <w:kern w:val="0"/>
          <w:sz w:val="22"/>
          <w:szCs w:val="22"/>
          <w:lang w:val="es-419"/>
          <w14:ligatures w14:val="none"/>
        </w:rPr>
        <w:t xml:space="preserve">: </w:t>
      </w:r>
      <w:r w:rsidRPr="00923440">
        <w:rPr>
          <w:rFonts w:ascii="Times New Roman" w:eastAsia="Times New Roman" w:hAnsi="Times New Roman" w:cs="Times New Roman"/>
          <w:b/>
          <w:bCs/>
          <w:i/>
          <w:iCs/>
          <w:color w:val="1A1919"/>
          <w:kern w:val="0"/>
          <w:sz w:val="22"/>
          <w:szCs w:val="22"/>
          <w:lang w:val="es-419"/>
          <w14:ligatures w14:val="none"/>
        </w:rPr>
        <w:t>“Innovar para la complejidad: Estrategias del sector público para abordar el cambio climático en América Latina”</w:t>
      </w:r>
    </w:p>
    <w:p w14:paraId="298BCACE" w14:textId="77777777" w:rsidR="000B59BA" w:rsidRPr="00923440" w:rsidRDefault="000B59BA" w:rsidP="000B59BA">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1. Antecedentes</w:t>
      </w:r>
    </w:p>
    <w:p w14:paraId="72EFF9EE" w14:textId="258AF23A" w:rsidR="000B59BA" w:rsidRPr="00923440" w:rsidRDefault="000B59BA" w:rsidP="00414FFC">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El curso </w:t>
      </w:r>
      <w:r w:rsidRPr="00923440">
        <w:rPr>
          <w:rFonts w:ascii="Times New Roman" w:eastAsia="Times New Roman" w:hAnsi="Times New Roman" w:cs="Times New Roman"/>
          <w:b/>
          <w:bCs/>
          <w:i/>
          <w:iCs/>
          <w:color w:val="1A1919"/>
          <w:kern w:val="0"/>
          <w:sz w:val="22"/>
          <w:szCs w:val="22"/>
          <w:lang w:val="es-419"/>
          <w14:ligatures w14:val="none"/>
        </w:rPr>
        <w:t>“Innovar para la complejidad: Estrategias del sector público para abordar el cambio climático en América Latina”</w:t>
      </w:r>
      <w:r w:rsidRPr="00923440">
        <w:rPr>
          <w:rFonts w:ascii="Times New Roman" w:eastAsia="Times New Roman" w:hAnsi="Times New Roman" w:cs="Times New Roman"/>
          <w:color w:val="1A1919"/>
          <w:kern w:val="0"/>
          <w:sz w:val="22"/>
          <w:szCs w:val="22"/>
          <w:lang w:val="es-419"/>
          <w14:ligatures w14:val="none"/>
        </w:rPr>
        <w:t xml:space="preserve"> tiene como objetivo fortalecer las capacidades de actores públicos para diseñar e implementar respuestas innovadoras frente a problemas complejos, utilizando el cambio climático como caso aplicado. </w:t>
      </w:r>
      <w:hyperlink r:id="rId8" w:history="1"/>
    </w:p>
    <w:p w14:paraId="18A2AB7B" w14:textId="65C4C1D5" w:rsidR="000B59BA" w:rsidRPr="00923440" w:rsidRDefault="00414FFC" w:rsidP="00414FFC">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El cambio climático constituye un problema multidimensional caracterizado por </w:t>
      </w:r>
      <w:r w:rsidR="006E7586" w:rsidRPr="00923440">
        <w:rPr>
          <w:rFonts w:ascii="Times New Roman" w:eastAsia="Times New Roman" w:hAnsi="Times New Roman" w:cs="Times New Roman"/>
          <w:color w:val="1A1919"/>
          <w:kern w:val="0"/>
          <w:sz w:val="22"/>
          <w:szCs w:val="22"/>
          <w:lang w:val="es-419"/>
          <w14:ligatures w14:val="none"/>
        </w:rPr>
        <w:t xml:space="preserve">inevitabilidad, </w:t>
      </w:r>
      <w:r w:rsidRPr="00923440">
        <w:rPr>
          <w:rFonts w:ascii="Times New Roman" w:eastAsia="Times New Roman" w:hAnsi="Times New Roman" w:cs="Times New Roman"/>
          <w:color w:val="1A1919"/>
          <w:kern w:val="0"/>
          <w:sz w:val="22"/>
          <w:szCs w:val="22"/>
          <w:lang w:val="es-419"/>
          <w14:ligatures w14:val="none"/>
        </w:rPr>
        <w:t xml:space="preserve">alta incertidumbre, interdependencias sectoriales, efectos sistémicos, horizontes de </w:t>
      </w:r>
      <w:r w:rsidR="006E7586" w:rsidRPr="00923440">
        <w:rPr>
          <w:rFonts w:ascii="Times New Roman" w:eastAsia="Times New Roman" w:hAnsi="Times New Roman" w:cs="Times New Roman"/>
          <w:color w:val="1A1919"/>
          <w:kern w:val="0"/>
          <w:sz w:val="22"/>
          <w:szCs w:val="22"/>
          <w:lang w:val="es-419"/>
          <w14:ligatures w14:val="none"/>
        </w:rPr>
        <w:t xml:space="preserve">corto a </w:t>
      </w:r>
      <w:r w:rsidRPr="00923440">
        <w:rPr>
          <w:rFonts w:ascii="Times New Roman" w:eastAsia="Times New Roman" w:hAnsi="Times New Roman" w:cs="Times New Roman"/>
          <w:color w:val="1A1919"/>
          <w:kern w:val="0"/>
          <w:sz w:val="22"/>
          <w:szCs w:val="22"/>
          <w:lang w:val="es-419"/>
          <w14:ligatures w14:val="none"/>
        </w:rPr>
        <w:t xml:space="preserve">largo plazo, necesidad de coordinación </w:t>
      </w:r>
      <w:proofErr w:type="spellStart"/>
      <w:r w:rsidRPr="00923440">
        <w:rPr>
          <w:rFonts w:ascii="Times New Roman" w:eastAsia="Times New Roman" w:hAnsi="Times New Roman" w:cs="Times New Roman"/>
          <w:color w:val="1A1919"/>
          <w:kern w:val="0"/>
          <w:sz w:val="22"/>
          <w:szCs w:val="22"/>
          <w:lang w:val="es-419"/>
          <w14:ligatures w14:val="none"/>
        </w:rPr>
        <w:t>multiactor</w:t>
      </w:r>
      <w:proofErr w:type="spellEnd"/>
      <w:r w:rsidR="006E7586" w:rsidRPr="00923440">
        <w:rPr>
          <w:rFonts w:ascii="Times New Roman" w:eastAsia="Times New Roman" w:hAnsi="Times New Roman" w:cs="Times New Roman"/>
          <w:color w:val="1A1919"/>
          <w:kern w:val="0"/>
          <w:sz w:val="22"/>
          <w:szCs w:val="22"/>
          <w:lang w:val="es-419"/>
          <w14:ligatures w14:val="none"/>
        </w:rPr>
        <w:t xml:space="preserve"> y profundización del conocimiento con actualización permanente de indicadores</w:t>
      </w:r>
      <w:r w:rsidRPr="00923440">
        <w:rPr>
          <w:rFonts w:ascii="Times New Roman" w:eastAsia="Times New Roman" w:hAnsi="Times New Roman" w:cs="Times New Roman"/>
          <w:color w:val="1A1919"/>
          <w:kern w:val="0"/>
          <w:sz w:val="22"/>
          <w:szCs w:val="22"/>
          <w:lang w:val="es-419"/>
          <w14:ligatures w14:val="none"/>
        </w:rPr>
        <w:t xml:space="preserve">.  </w:t>
      </w:r>
      <w:r w:rsidR="000B59BA" w:rsidRPr="00923440">
        <w:rPr>
          <w:rFonts w:ascii="Times New Roman" w:eastAsia="Times New Roman" w:hAnsi="Times New Roman" w:cs="Times New Roman"/>
          <w:color w:val="1A1919"/>
          <w:kern w:val="0"/>
          <w:sz w:val="22"/>
          <w:szCs w:val="22"/>
          <w:lang w:val="es-419"/>
          <w14:ligatures w14:val="none"/>
        </w:rPr>
        <w:t>Estas características lo convierten en un caso paradigmático de “problema complejo” que exige una transformación profunda en la forma de diseñar e implementar políticas públicas.</w:t>
      </w:r>
    </w:p>
    <w:p w14:paraId="339957A4" w14:textId="4789AF3B" w:rsidR="000B59BA" w:rsidRPr="00923440" w:rsidRDefault="00414FFC" w:rsidP="00414FFC">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Para</w:t>
      </w:r>
      <w:r w:rsidR="009E606C" w:rsidRPr="00923440">
        <w:rPr>
          <w:rFonts w:ascii="Times New Roman" w:eastAsia="Times New Roman" w:hAnsi="Times New Roman" w:cs="Times New Roman"/>
          <w:color w:val="1A1919"/>
          <w:kern w:val="0"/>
          <w:sz w:val="22"/>
          <w:szCs w:val="22"/>
          <w:lang w:val="es-419"/>
          <w14:ligatures w14:val="none"/>
        </w:rPr>
        <w:t xml:space="preserve"> </w:t>
      </w:r>
      <w:r w:rsidRPr="00923440">
        <w:rPr>
          <w:rFonts w:ascii="Times New Roman" w:eastAsia="Times New Roman" w:hAnsi="Times New Roman" w:cs="Times New Roman"/>
          <w:color w:val="1A1919"/>
          <w:kern w:val="0"/>
          <w:sz w:val="22"/>
          <w:szCs w:val="22"/>
          <w:lang w:val="es-419"/>
          <w14:ligatures w14:val="none"/>
        </w:rPr>
        <w:t xml:space="preserve">apoyar el diseño pedagógico del curso se propone realizar una revisión </w:t>
      </w:r>
      <w:r w:rsidR="000B59BA" w:rsidRPr="00923440">
        <w:rPr>
          <w:rFonts w:ascii="Times New Roman" w:eastAsia="Times New Roman" w:hAnsi="Times New Roman" w:cs="Times New Roman"/>
          <w:color w:val="1A1919"/>
          <w:kern w:val="0"/>
          <w:sz w:val="22"/>
          <w:szCs w:val="22"/>
          <w:lang w:val="es-419"/>
          <w14:ligatures w14:val="none"/>
        </w:rPr>
        <w:t>de la producción</w:t>
      </w:r>
      <w:r w:rsidRPr="00923440">
        <w:rPr>
          <w:rFonts w:ascii="Times New Roman" w:eastAsia="Times New Roman" w:hAnsi="Times New Roman" w:cs="Times New Roman"/>
          <w:color w:val="1A1919"/>
          <w:kern w:val="0"/>
          <w:sz w:val="22"/>
          <w:szCs w:val="22"/>
          <w:lang w:val="es-419"/>
          <w14:ligatures w14:val="none"/>
        </w:rPr>
        <w:t xml:space="preserve"> editorial</w:t>
      </w:r>
      <w:r w:rsidR="000B59BA" w:rsidRPr="00923440">
        <w:rPr>
          <w:rFonts w:ascii="Times New Roman" w:eastAsia="Times New Roman" w:hAnsi="Times New Roman" w:cs="Times New Roman"/>
          <w:color w:val="1A1919"/>
          <w:kern w:val="0"/>
          <w:sz w:val="22"/>
          <w:szCs w:val="22"/>
          <w:lang w:val="es-419"/>
          <w14:ligatures w14:val="none"/>
        </w:rPr>
        <w:t xml:space="preserve"> de la CEPAL sobre cambio climático desde 2015 en adelante, con el objetivo de:</w:t>
      </w:r>
    </w:p>
    <w:p w14:paraId="1CC3ECC5" w14:textId="7A8839D2" w:rsidR="000B59BA" w:rsidRPr="00923440" w:rsidRDefault="00CE5E21">
      <w:pPr>
        <w:numPr>
          <w:ilvl w:val="0"/>
          <w:numId w:val="1"/>
        </w:numPr>
        <w:tabs>
          <w:tab w:val="clear" w:pos="360"/>
          <w:tab w:val="num" w:pos="720"/>
        </w:tabs>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S</w:t>
      </w:r>
      <w:r w:rsidR="000B59BA" w:rsidRPr="00923440">
        <w:rPr>
          <w:rFonts w:ascii="Times New Roman" w:eastAsia="Times New Roman" w:hAnsi="Times New Roman" w:cs="Times New Roman"/>
          <w:color w:val="1A1919"/>
          <w:kern w:val="0"/>
          <w:sz w:val="22"/>
          <w:szCs w:val="22"/>
          <w:lang w:val="es-419"/>
          <w14:ligatures w14:val="none"/>
        </w:rPr>
        <w:t xml:space="preserve">istematizar el pensamiento </w:t>
      </w:r>
      <w:r w:rsidR="00DD5474" w:rsidRPr="00923440">
        <w:rPr>
          <w:rFonts w:ascii="Times New Roman" w:eastAsia="Times New Roman" w:hAnsi="Times New Roman" w:cs="Times New Roman"/>
          <w:color w:val="1A1919"/>
          <w:kern w:val="0"/>
          <w:sz w:val="22"/>
          <w:szCs w:val="22"/>
          <w:lang w:val="es-419"/>
          <w14:ligatures w14:val="none"/>
        </w:rPr>
        <w:t>i</w:t>
      </w:r>
      <w:r w:rsidRPr="00923440">
        <w:rPr>
          <w:rFonts w:ascii="Times New Roman" w:eastAsia="Times New Roman" w:hAnsi="Times New Roman" w:cs="Times New Roman"/>
          <w:color w:val="1A1919"/>
          <w:kern w:val="0"/>
          <w:sz w:val="22"/>
          <w:szCs w:val="22"/>
          <w:lang w:val="es-419"/>
          <w14:ligatures w14:val="none"/>
        </w:rPr>
        <w:t>nstitucional</w:t>
      </w:r>
      <w:r w:rsidR="00EE2BD3">
        <w:rPr>
          <w:rFonts w:ascii="Times New Roman" w:eastAsia="Times New Roman" w:hAnsi="Times New Roman" w:cs="Times New Roman"/>
          <w:color w:val="1A1919"/>
          <w:kern w:val="0"/>
          <w:sz w:val="22"/>
          <w:szCs w:val="22"/>
          <w:lang w:val="es-419"/>
          <w14:ligatures w14:val="none"/>
        </w:rPr>
        <w:t>.</w:t>
      </w:r>
    </w:p>
    <w:p w14:paraId="235F1244" w14:textId="571F1A89" w:rsidR="000B59BA" w:rsidRPr="00923440" w:rsidRDefault="00CE5E21">
      <w:pPr>
        <w:numPr>
          <w:ilvl w:val="0"/>
          <w:numId w:val="1"/>
        </w:numPr>
        <w:tabs>
          <w:tab w:val="clear" w:pos="360"/>
          <w:tab w:val="num" w:pos="720"/>
        </w:tabs>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Id</w:t>
      </w:r>
      <w:r w:rsidR="000B59BA" w:rsidRPr="00923440">
        <w:rPr>
          <w:rFonts w:ascii="Times New Roman" w:eastAsia="Times New Roman" w:hAnsi="Times New Roman" w:cs="Times New Roman"/>
          <w:color w:val="1A1919"/>
          <w:kern w:val="0"/>
          <w:sz w:val="22"/>
          <w:szCs w:val="22"/>
          <w:lang w:val="es-419"/>
          <w14:ligatures w14:val="none"/>
        </w:rPr>
        <w:t>entificar avances, brechas y tendencias</w:t>
      </w:r>
      <w:r w:rsidR="00EE2BD3">
        <w:rPr>
          <w:rFonts w:ascii="Times New Roman" w:eastAsia="Times New Roman" w:hAnsi="Times New Roman" w:cs="Times New Roman"/>
          <w:color w:val="1A1919"/>
          <w:kern w:val="0"/>
          <w:sz w:val="22"/>
          <w:szCs w:val="22"/>
          <w:lang w:val="es-419"/>
          <w14:ligatures w14:val="none"/>
        </w:rPr>
        <w:t>.</w:t>
      </w:r>
    </w:p>
    <w:p w14:paraId="3FC662DF" w14:textId="5BF2159C" w:rsidR="000B59BA" w:rsidRPr="00923440" w:rsidRDefault="00CE5E21">
      <w:pPr>
        <w:numPr>
          <w:ilvl w:val="0"/>
          <w:numId w:val="1"/>
        </w:numPr>
        <w:tabs>
          <w:tab w:val="clear" w:pos="360"/>
          <w:tab w:val="num" w:pos="720"/>
        </w:tabs>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w:t>
      </w:r>
      <w:r w:rsidR="000B59BA" w:rsidRPr="00923440">
        <w:rPr>
          <w:rFonts w:ascii="Times New Roman" w:eastAsia="Times New Roman" w:hAnsi="Times New Roman" w:cs="Times New Roman"/>
          <w:color w:val="1A1919"/>
          <w:kern w:val="0"/>
          <w:sz w:val="22"/>
          <w:szCs w:val="22"/>
          <w:lang w:val="es-419"/>
          <w14:ligatures w14:val="none"/>
        </w:rPr>
        <w:t>roveer insumos analíticos para el trabajo aplicado en Montevideo</w:t>
      </w:r>
      <w:r w:rsidR="00414FFC" w:rsidRPr="00923440">
        <w:rPr>
          <w:rFonts w:ascii="Times New Roman" w:eastAsia="Times New Roman" w:hAnsi="Times New Roman" w:cs="Times New Roman"/>
          <w:color w:val="1A1919"/>
          <w:kern w:val="0"/>
          <w:sz w:val="22"/>
          <w:szCs w:val="22"/>
          <w:lang w:val="es-419"/>
          <w14:ligatures w14:val="none"/>
        </w:rPr>
        <w:t xml:space="preserve"> (1 al 4 de septiembre de 2026).</w:t>
      </w:r>
    </w:p>
    <w:p w14:paraId="7D59E395" w14:textId="77777777" w:rsidR="000B59BA" w:rsidRPr="00923440" w:rsidRDefault="000B59BA" w:rsidP="000B59BA">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2. Marco conceptual: cambio climático, desarrollo y brechas estructurales</w:t>
      </w:r>
    </w:p>
    <w:p w14:paraId="7C7CD1B2" w14:textId="77777777" w:rsidR="000B59BA" w:rsidRPr="00923440" w:rsidRDefault="000B59BA" w:rsidP="000B59BA">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2.1 Las trampas del desarrollo y la brecha ambiental</w:t>
      </w:r>
    </w:p>
    <w:p w14:paraId="5B85A28F" w14:textId="2888225C" w:rsidR="000B59BA" w:rsidRPr="00923440" w:rsidRDefault="000B59BA" w:rsidP="00CE5E21">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La CEPAL plantea que América Latina y el Caribe se encuentra en una trayectoria marcada por </w:t>
      </w:r>
      <w:r w:rsidR="00CE5E21" w:rsidRPr="00923440">
        <w:rPr>
          <w:rFonts w:ascii="Times New Roman" w:eastAsia="Times New Roman" w:hAnsi="Times New Roman" w:cs="Times New Roman"/>
          <w:color w:val="1A1919"/>
          <w:kern w:val="0"/>
          <w:sz w:val="22"/>
          <w:szCs w:val="22"/>
          <w:lang w:val="es-419"/>
          <w14:ligatures w14:val="none"/>
        </w:rPr>
        <w:t xml:space="preserve">tres </w:t>
      </w:r>
      <w:r w:rsidRPr="00923440">
        <w:rPr>
          <w:rFonts w:ascii="Times New Roman" w:eastAsia="Times New Roman" w:hAnsi="Times New Roman" w:cs="Times New Roman"/>
          <w:color w:val="1A1919"/>
          <w:kern w:val="0"/>
          <w:sz w:val="22"/>
          <w:szCs w:val="22"/>
          <w:lang w:val="es-419"/>
          <w14:ligatures w14:val="none"/>
        </w:rPr>
        <w:t>trampas del desarrollo</w:t>
      </w:r>
      <w:r w:rsidR="00CE5E21" w:rsidRPr="00923440">
        <w:rPr>
          <w:rFonts w:ascii="Times New Roman" w:eastAsia="Times New Roman" w:hAnsi="Times New Roman" w:cs="Times New Roman"/>
          <w:color w:val="1A1919"/>
          <w:kern w:val="0"/>
          <w:sz w:val="22"/>
          <w:szCs w:val="22"/>
          <w:lang w:val="es-419"/>
          <w14:ligatures w14:val="none"/>
        </w:rPr>
        <w:t xml:space="preserve"> que se refuerzan mutuamente y que afectan en diferente medida a todos los países de la región: i) una trampa de baja capacidad para crecer y transformar, </w:t>
      </w:r>
      <w:proofErr w:type="spellStart"/>
      <w:r w:rsidR="00CE5E21" w:rsidRPr="00923440">
        <w:rPr>
          <w:rFonts w:ascii="Times New Roman" w:eastAsia="Times New Roman" w:hAnsi="Times New Roman" w:cs="Times New Roman"/>
          <w:color w:val="1A1919"/>
          <w:kern w:val="0"/>
          <w:sz w:val="22"/>
          <w:szCs w:val="22"/>
          <w:lang w:val="es-419"/>
          <w14:ligatures w14:val="none"/>
        </w:rPr>
        <w:t>ii</w:t>
      </w:r>
      <w:proofErr w:type="spellEnd"/>
      <w:r w:rsidR="00CE5E21" w:rsidRPr="00923440">
        <w:rPr>
          <w:rFonts w:ascii="Times New Roman" w:eastAsia="Times New Roman" w:hAnsi="Times New Roman" w:cs="Times New Roman"/>
          <w:color w:val="1A1919"/>
          <w:kern w:val="0"/>
          <w:sz w:val="22"/>
          <w:szCs w:val="22"/>
          <w:lang w:val="es-419"/>
          <w14:ligatures w14:val="none"/>
        </w:rPr>
        <w:t xml:space="preserve">) una trampa de alta desigualdad, baja movilidad social y débil cohesión social y </w:t>
      </w:r>
      <w:proofErr w:type="spellStart"/>
      <w:r w:rsidR="00CE5E21" w:rsidRPr="00923440">
        <w:rPr>
          <w:rFonts w:ascii="Times New Roman" w:eastAsia="Times New Roman" w:hAnsi="Times New Roman" w:cs="Times New Roman"/>
          <w:color w:val="1A1919"/>
          <w:kern w:val="0"/>
          <w:sz w:val="22"/>
          <w:szCs w:val="22"/>
          <w:lang w:val="es-419"/>
          <w14:ligatures w14:val="none"/>
        </w:rPr>
        <w:t>iii</w:t>
      </w:r>
      <w:proofErr w:type="spellEnd"/>
      <w:r w:rsidR="00CE5E21" w:rsidRPr="00923440">
        <w:rPr>
          <w:rFonts w:ascii="Times New Roman" w:eastAsia="Times New Roman" w:hAnsi="Times New Roman" w:cs="Times New Roman"/>
          <w:color w:val="1A1919"/>
          <w:kern w:val="0"/>
          <w:sz w:val="22"/>
          <w:szCs w:val="22"/>
          <w:lang w:val="es-419"/>
          <w14:ligatures w14:val="none"/>
        </w:rPr>
        <w:t>) una trampa de bajas capacidades institucionales y de gobernanza poca efectiva</w:t>
      </w:r>
      <w:r w:rsidR="00A77600" w:rsidRPr="00923440">
        <w:rPr>
          <w:rStyle w:val="FootnoteReference"/>
          <w:rFonts w:ascii="Times New Roman" w:eastAsia="Times New Roman" w:hAnsi="Times New Roman" w:cs="Times New Roman"/>
          <w:color w:val="1A1919"/>
          <w:kern w:val="0"/>
          <w:sz w:val="22"/>
          <w:szCs w:val="22"/>
          <w:lang w:val="es-419"/>
          <w14:ligatures w14:val="none"/>
        </w:rPr>
        <w:footnoteReference w:id="1"/>
      </w:r>
      <w:r w:rsidR="00CE5E21" w:rsidRPr="00923440">
        <w:rPr>
          <w:rFonts w:ascii="Times New Roman" w:eastAsia="Times New Roman" w:hAnsi="Times New Roman" w:cs="Times New Roman"/>
          <w:color w:val="1A1919"/>
          <w:kern w:val="0"/>
          <w:sz w:val="22"/>
          <w:szCs w:val="22"/>
          <w:lang w:val="es-419"/>
          <w14:ligatures w14:val="none"/>
        </w:rPr>
        <w:t xml:space="preserve">. </w:t>
      </w:r>
    </w:p>
    <w:p w14:paraId="6DD69C35" w14:textId="77777777" w:rsidR="00923440" w:rsidRPr="00923440" w:rsidRDefault="00A77600" w:rsidP="00CE5E21">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Se suma a lo anterior una brecha de sostenibilidad ambiental, asociada a un modelo de desarrollo basado en explotación intensiva de recursos naturales, especialización productiva primaria, baja innovación</w:t>
      </w:r>
      <w:r w:rsidR="006E7586" w:rsidRPr="00923440">
        <w:rPr>
          <w:rFonts w:ascii="Times New Roman" w:eastAsia="Times New Roman" w:hAnsi="Times New Roman" w:cs="Times New Roman"/>
          <w:color w:val="1A1919"/>
          <w:kern w:val="0"/>
          <w:sz w:val="22"/>
          <w:szCs w:val="22"/>
          <w:lang w:val="es-419"/>
          <w14:ligatures w14:val="none"/>
        </w:rPr>
        <w:t>, matriz energética con base en combustibles fósiles, patrones de consumo insostenibles</w:t>
      </w:r>
      <w:r w:rsidRPr="00923440">
        <w:rPr>
          <w:rFonts w:ascii="Times New Roman" w:eastAsia="Times New Roman" w:hAnsi="Times New Roman" w:cs="Times New Roman"/>
          <w:color w:val="1A1919"/>
          <w:kern w:val="0"/>
          <w:sz w:val="22"/>
          <w:szCs w:val="22"/>
          <w:lang w:val="es-419"/>
          <w14:ligatures w14:val="none"/>
        </w:rPr>
        <w:t xml:space="preserve"> y presión sobre la base ambiental. </w:t>
      </w:r>
    </w:p>
    <w:p w14:paraId="18170CF9" w14:textId="7129DB7F" w:rsidR="00A77600" w:rsidRPr="00923440" w:rsidRDefault="00A77600" w:rsidP="00CE5E21">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lastRenderedPageBreak/>
        <w:t>El cambio climático</w:t>
      </w:r>
      <w:r w:rsidR="005B316C" w:rsidRPr="00923440">
        <w:rPr>
          <w:rStyle w:val="FootnoteReference"/>
          <w:rFonts w:ascii="Times New Roman" w:eastAsia="Times New Roman" w:hAnsi="Times New Roman" w:cs="Times New Roman"/>
          <w:color w:val="1A1919"/>
          <w:kern w:val="0"/>
          <w:sz w:val="22"/>
          <w:szCs w:val="22"/>
          <w:lang w:val="es-419"/>
          <w14:ligatures w14:val="none"/>
        </w:rPr>
        <w:footnoteReference w:id="2"/>
      </w:r>
      <w:r w:rsidRPr="00923440">
        <w:rPr>
          <w:rFonts w:ascii="Times New Roman" w:eastAsia="Times New Roman" w:hAnsi="Times New Roman" w:cs="Times New Roman"/>
          <w:color w:val="1A1919"/>
          <w:kern w:val="0"/>
          <w:sz w:val="22"/>
          <w:szCs w:val="22"/>
          <w:lang w:val="es-419"/>
          <w14:ligatures w14:val="none"/>
        </w:rPr>
        <w:t xml:space="preserve"> amplifica estas dinámicas, convirtiéndose en un multiplicador de vulnerabilidades al reducir el crecimiento potencial, </w:t>
      </w:r>
      <w:r w:rsidR="006E7586" w:rsidRPr="00923440">
        <w:rPr>
          <w:rFonts w:ascii="Times New Roman" w:eastAsia="Times New Roman" w:hAnsi="Times New Roman" w:cs="Times New Roman"/>
          <w:color w:val="1A1919"/>
          <w:kern w:val="0"/>
          <w:sz w:val="22"/>
          <w:szCs w:val="22"/>
          <w:lang w:val="es-419"/>
          <w14:ligatures w14:val="none"/>
        </w:rPr>
        <w:t xml:space="preserve">erosiona logros, </w:t>
      </w:r>
      <w:r w:rsidRPr="00923440">
        <w:rPr>
          <w:rFonts w:ascii="Times New Roman" w:eastAsia="Times New Roman" w:hAnsi="Times New Roman" w:cs="Times New Roman"/>
          <w:color w:val="1A1919"/>
          <w:kern w:val="0"/>
          <w:sz w:val="22"/>
          <w:szCs w:val="22"/>
          <w:lang w:val="es-419"/>
          <w14:ligatures w14:val="none"/>
        </w:rPr>
        <w:t xml:space="preserve">incrementar los costos sociales, profundizar desigualdades territoriales y tensionar las finanzas públicas. </w:t>
      </w:r>
    </w:p>
    <w:p w14:paraId="334B2736" w14:textId="77777777" w:rsidR="000B59BA" w:rsidRPr="00923440" w:rsidRDefault="000B59BA" w:rsidP="000B59BA">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2.2 El cambio climático como oportunidad de transformación</w:t>
      </w:r>
    </w:p>
    <w:p w14:paraId="652C1EC7" w14:textId="7A8B19A3" w:rsidR="000B59BA" w:rsidRPr="00923440" w:rsidRDefault="000B59BA" w:rsidP="00A77600">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La CEPAL plantea que esta brecha no solo es una restricción, sino una oportunidad estratégica para transformar el modelo de desarrollo, a través de un gran impulso ambiental, que implica</w:t>
      </w:r>
      <w:r w:rsidR="00A77600" w:rsidRPr="00923440">
        <w:rPr>
          <w:rFonts w:ascii="Times New Roman" w:eastAsia="Times New Roman" w:hAnsi="Times New Roman" w:cs="Times New Roman"/>
          <w:color w:val="1A1919"/>
          <w:kern w:val="0"/>
          <w:sz w:val="22"/>
          <w:szCs w:val="22"/>
          <w:lang w:val="es-419"/>
          <w14:ligatures w14:val="none"/>
        </w:rPr>
        <w:t xml:space="preserve">, entre otros, reorientación de inversiones, cambio estructural productivo, incorporación de innovación y desarrollo de nuevos sectores sostenibles. Este enfoque permite simultáneamente reducir emisiones, aumentar productividad, generar empleo y cerrar brechas sociales y externas. </w:t>
      </w:r>
    </w:p>
    <w:p w14:paraId="495EE819" w14:textId="77777777" w:rsidR="000B59BA" w:rsidRPr="00923440" w:rsidRDefault="000B59BA" w:rsidP="000B59BA">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3. El desafío actual: acción climática en tiempos difíciles</w:t>
      </w:r>
    </w:p>
    <w:p w14:paraId="0BA924DA" w14:textId="77777777" w:rsidR="00A7490D" w:rsidRPr="00923440" w:rsidRDefault="00A7490D" w:rsidP="00A7490D">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El contexto actual introduce restricciones adicionales para la acción climática, asociadas a la reducción del espacio fiscal, tensiones geopolíticas, fragmentación del multilateralismo y una creciente orientación hacia prioridades de corto plazo.</w:t>
      </w:r>
    </w:p>
    <w:p w14:paraId="72F77A29" w14:textId="77777777" w:rsidR="00A7490D" w:rsidRPr="00923440" w:rsidRDefault="00A7490D" w:rsidP="00A7490D">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 nivel global, la evidencia muestra que los avances son insuficientes: las emisiones continúan aumentando y los efectos del cambio climático progresan más rápido que las respuestas.</w:t>
      </w:r>
    </w:p>
    <w:p w14:paraId="1B16753A" w14:textId="4944D245" w:rsidR="00A7490D" w:rsidRPr="00923440" w:rsidRDefault="00A7490D" w:rsidP="00A7490D">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En este escenario, la ambición climática tiende a debilitarse precisamente cuando la urgencia es mayor</w:t>
      </w:r>
      <w:r w:rsidR="006E7586" w:rsidRPr="00923440">
        <w:rPr>
          <w:rFonts w:ascii="Times New Roman" w:eastAsia="Times New Roman" w:hAnsi="Times New Roman" w:cs="Times New Roman"/>
          <w:color w:val="1A1919"/>
          <w:kern w:val="0"/>
          <w:sz w:val="22"/>
          <w:szCs w:val="22"/>
          <w:lang w:val="es-419"/>
          <w14:ligatures w14:val="none"/>
        </w:rPr>
        <w:t>, cuando, paradójicamente, algunas soluciones climáticas son asimismo propulsores de desarrollo y empleo</w:t>
      </w:r>
      <w:r w:rsidRPr="00923440">
        <w:rPr>
          <w:rFonts w:ascii="Times New Roman" w:eastAsia="Times New Roman" w:hAnsi="Times New Roman" w:cs="Times New Roman"/>
          <w:color w:val="1A1919"/>
          <w:kern w:val="0"/>
          <w:sz w:val="22"/>
          <w:szCs w:val="22"/>
          <w:lang w:val="es-419"/>
          <w14:ligatures w14:val="none"/>
        </w:rPr>
        <w:t>.</w:t>
      </w:r>
    </w:p>
    <w:p w14:paraId="4A5D15CD" w14:textId="77777777" w:rsidR="00A7490D" w:rsidRPr="00923440" w:rsidRDefault="00A7490D" w:rsidP="00A7490D">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Esto plantea un desafío central: cómo acelerar la acción climática en contextos adversos, caracterizados por restricciones crecientes y alta incertidumbre.</w:t>
      </w:r>
    </w:p>
    <w:p w14:paraId="680F6C9D" w14:textId="502CA4EF" w:rsidR="000B59BA" w:rsidRPr="00923440" w:rsidRDefault="000B59BA" w:rsidP="00A7490D">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 xml:space="preserve">4. </w:t>
      </w:r>
      <w:r w:rsidR="00A7490D" w:rsidRPr="00923440">
        <w:rPr>
          <w:rFonts w:ascii="Times New Roman" w:eastAsia="Times New Roman" w:hAnsi="Times New Roman" w:cs="Times New Roman"/>
          <w:b/>
          <w:bCs/>
          <w:color w:val="1A1919"/>
          <w:kern w:val="0"/>
          <w:sz w:val="22"/>
          <w:szCs w:val="22"/>
          <w:lang w:val="es-419"/>
          <w14:ligatures w14:val="none"/>
        </w:rPr>
        <w:t>Claves estratégicas para acelerar la acción climática</w:t>
      </w:r>
    </w:p>
    <w:p w14:paraId="7BA6E90B" w14:textId="5E98E79F" w:rsidR="00913D07" w:rsidRPr="00923440" w:rsidRDefault="00913D07" w:rsidP="00913D07">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Desde la perspectiva de la CEPAL, avanzar en la acción climática exige mucho más que ajustes marginales, ya que la magnitud del desafío requiere transformaciones estructurales profundas del modelo de desarrollo. En esta línea, </w:t>
      </w:r>
      <w:r w:rsidR="00DD3264" w:rsidRPr="00923440">
        <w:rPr>
          <w:rFonts w:ascii="Times New Roman" w:eastAsia="Times New Roman" w:hAnsi="Times New Roman" w:cs="Times New Roman"/>
          <w:color w:val="1A1919"/>
          <w:kern w:val="0"/>
          <w:sz w:val="22"/>
          <w:szCs w:val="22"/>
          <w:lang w:val="es-419"/>
          <w14:ligatures w14:val="none"/>
        </w:rPr>
        <w:t>se</w:t>
      </w:r>
      <w:r w:rsidRPr="00923440">
        <w:rPr>
          <w:rFonts w:ascii="Times New Roman" w:eastAsia="Times New Roman" w:hAnsi="Times New Roman" w:cs="Times New Roman"/>
          <w:color w:val="1A1919"/>
          <w:kern w:val="0"/>
          <w:sz w:val="22"/>
          <w:szCs w:val="22"/>
          <w:lang w:val="es-419"/>
          <w14:ligatures w14:val="none"/>
        </w:rPr>
        <w:t xml:space="preserve"> plantea la necesidad de impulsar un gran impulso ambiental, basado en la reorientación coordinada de políticas públicas, inversiones, regulaciones e incentivos, capaz de generar trayectorias de crecimiento más sostenibles, inclusivas y bajas en carbono. Esto implica no solo ampliar y escalar soluciones existentes —como las energías renovables, la electromovilidad o la eficiencia energética— sino integrarlas en estrategias productivas más amplias que permitan transformar la estructura económica de la región. Asimismo, la CEPAL destaca que el cambio climático debe abordarse como un problema macroeconómico central, que requiere una nueva generación de políticas fiscales, financieras e industriales, incluyendo instrumentos como el precio al carbono, el análisis de riesgos climáticos y el desarrollo de </w:t>
      </w:r>
      <w:r w:rsidR="006E7586" w:rsidRPr="00923440">
        <w:rPr>
          <w:rFonts w:ascii="Times New Roman" w:eastAsia="Times New Roman" w:hAnsi="Times New Roman" w:cs="Times New Roman"/>
          <w:color w:val="1A1919"/>
          <w:kern w:val="0"/>
          <w:sz w:val="22"/>
          <w:szCs w:val="22"/>
          <w:lang w:val="es-419"/>
          <w14:ligatures w14:val="none"/>
        </w:rPr>
        <w:t xml:space="preserve">instrumentos financieros, como las </w:t>
      </w:r>
      <w:r w:rsidRPr="00923440">
        <w:rPr>
          <w:rFonts w:ascii="Times New Roman" w:eastAsia="Times New Roman" w:hAnsi="Times New Roman" w:cs="Times New Roman"/>
          <w:color w:val="1A1919"/>
          <w:kern w:val="0"/>
          <w:sz w:val="22"/>
          <w:szCs w:val="22"/>
          <w:lang w:val="es-419"/>
          <w14:ligatures w14:val="none"/>
        </w:rPr>
        <w:t>taxonomías</w:t>
      </w:r>
      <w:r w:rsidR="006E7586" w:rsidRPr="00923440">
        <w:rPr>
          <w:rFonts w:ascii="Times New Roman" w:eastAsia="Times New Roman" w:hAnsi="Times New Roman" w:cs="Times New Roman"/>
          <w:color w:val="1A1919"/>
          <w:kern w:val="0"/>
          <w:sz w:val="22"/>
          <w:szCs w:val="22"/>
          <w:lang w:val="es-419"/>
          <w14:ligatures w14:val="none"/>
        </w:rPr>
        <w:t xml:space="preserve"> y los bonos</w:t>
      </w:r>
      <w:r w:rsidRPr="00923440">
        <w:rPr>
          <w:rFonts w:ascii="Times New Roman" w:eastAsia="Times New Roman" w:hAnsi="Times New Roman" w:cs="Times New Roman"/>
          <w:color w:val="1A1919"/>
          <w:kern w:val="0"/>
          <w:sz w:val="22"/>
          <w:szCs w:val="22"/>
          <w:lang w:val="es-419"/>
          <w14:ligatures w14:val="none"/>
        </w:rPr>
        <w:t xml:space="preserve"> verdes para movilizar inversiones. </w:t>
      </w:r>
    </w:p>
    <w:p w14:paraId="544AEE4A" w14:textId="046C3563" w:rsidR="00A7490D" w:rsidRPr="00923440" w:rsidRDefault="00913D07" w:rsidP="00913D07">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De igual manera, el enfoque de la CEPAL enfatiza la importancia de la articulación de múltiples actores y sectores, tanto a nivel nacional como </w:t>
      </w:r>
      <w:r w:rsidR="00350E83" w:rsidRPr="00923440">
        <w:rPr>
          <w:rFonts w:ascii="Times New Roman" w:eastAsia="Times New Roman" w:hAnsi="Times New Roman" w:cs="Times New Roman"/>
          <w:color w:val="1A1919"/>
          <w:kern w:val="0"/>
          <w:sz w:val="22"/>
          <w:szCs w:val="22"/>
          <w:lang w:val="es-419"/>
          <w14:ligatures w14:val="none"/>
        </w:rPr>
        <w:t>subnacional</w:t>
      </w:r>
      <w:r w:rsidRPr="00923440">
        <w:rPr>
          <w:rFonts w:ascii="Times New Roman" w:eastAsia="Times New Roman" w:hAnsi="Times New Roman" w:cs="Times New Roman"/>
          <w:color w:val="1A1919"/>
          <w:kern w:val="0"/>
          <w:sz w:val="22"/>
          <w:szCs w:val="22"/>
          <w:lang w:val="es-419"/>
          <w14:ligatures w14:val="none"/>
        </w:rPr>
        <w:t xml:space="preserve">, para asegurar coherencia de políticas y aprovechar </w:t>
      </w:r>
      <w:r w:rsidRPr="00923440">
        <w:rPr>
          <w:rFonts w:ascii="Times New Roman" w:eastAsia="Times New Roman" w:hAnsi="Times New Roman" w:cs="Times New Roman"/>
          <w:color w:val="1A1919"/>
          <w:kern w:val="0"/>
          <w:sz w:val="22"/>
          <w:szCs w:val="22"/>
          <w:lang w:val="es-419"/>
          <w14:ligatures w14:val="none"/>
        </w:rPr>
        <w:lastRenderedPageBreak/>
        <w:t xml:space="preserve">sinergias entre desarrollo productivo, inclusión social y sostenibilidad ambiental. En este sentido, la acción climática no depende exclusivamente de acuerdos globales, sino también de la capacidad de los países para coordinar alianzas estratégicas y fortalecer la cooperación regional, así como para generar condiciones que permitan la </w:t>
      </w:r>
      <w:proofErr w:type="gramStart"/>
      <w:r w:rsidRPr="00923440">
        <w:rPr>
          <w:rFonts w:ascii="Times New Roman" w:eastAsia="Times New Roman" w:hAnsi="Times New Roman" w:cs="Times New Roman"/>
          <w:color w:val="1A1919"/>
          <w:kern w:val="0"/>
          <w:sz w:val="22"/>
          <w:szCs w:val="22"/>
          <w:lang w:val="es-419"/>
          <w14:ligatures w14:val="none"/>
        </w:rPr>
        <w:t>participación activa</w:t>
      </w:r>
      <w:proofErr w:type="gramEnd"/>
      <w:r w:rsidRPr="00923440">
        <w:rPr>
          <w:rFonts w:ascii="Times New Roman" w:eastAsia="Times New Roman" w:hAnsi="Times New Roman" w:cs="Times New Roman"/>
          <w:color w:val="1A1919"/>
          <w:kern w:val="0"/>
          <w:sz w:val="22"/>
          <w:szCs w:val="22"/>
          <w:lang w:val="es-419"/>
          <w14:ligatures w14:val="none"/>
        </w:rPr>
        <w:t xml:space="preserve"> del sector privado</w:t>
      </w:r>
      <w:r w:rsidR="006E7586" w:rsidRPr="00923440">
        <w:rPr>
          <w:rFonts w:ascii="Times New Roman" w:eastAsia="Times New Roman" w:hAnsi="Times New Roman" w:cs="Times New Roman"/>
          <w:color w:val="1A1919"/>
          <w:kern w:val="0"/>
          <w:sz w:val="22"/>
          <w:szCs w:val="22"/>
          <w:lang w:val="es-419"/>
          <w14:ligatures w14:val="none"/>
        </w:rPr>
        <w:t>, las comunidades locales, la academia</w:t>
      </w:r>
      <w:r w:rsidRPr="00923440">
        <w:rPr>
          <w:rFonts w:ascii="Times New Roman" w:eastAsia="Times New Roman" w:hAnsi="Times New Roman" w:cs="Times New Roman"/>
          <w:color w:val="1A1919"/>
          <w:kern w:val="0"/>
          <w:sz w:val="22"/>
          <w:szCs w:val="22"/>
          <w:lang w:val="es-419"/>
          <w14:ligatures w14:val="none"/>
        </w:rPr>
        <w:t xml:space="preserve"> y la sociedad civil. Finalmente, la CEPAL subraya la necesidad de replantear la narrativa del cambio climático, pasando de una visión centrada en costos a un enfoque que lo conciba como</w:t>
      </w:r>
      <w:r w:rsidR="006E7586" w:rsidRPr="00923440">
        <w:rPr>
          <w:rFonts w:ascii="Times New Roman" w:eastAsia="Times New Roman" w:hAnsi="Times New Roman" w:cs="Times New Roman"/>
          <w:color w:val="1A1919"/>
          <w:kern w:val="0"/>
          <w:sz w:val="22"/>
          <w:szCs w:val="22"/>
          <w:lang w:val="es-419"/>
          <w14:ligatures w14:val="none"/>
        </w:rPr>
        <w:t xml:space="preserve"> inversiones, es decir,</w:t>
      </w:r>
      <w:r w:rsidRPr="00923440">
        <w:rPr>
          <w:rFonts w:ascii="Times New Roman" w:eastAsia="Times New Roman" w:hAnsi="Times New Roman" w:cs="Times New Roman"/>
          <w:color w:val="1A1919"/>
          <w:kern w:val="0"/>
          <w:sz w:val="22"/>
          <w:szCs w:val="22"/>
          <w:lang w:val="es-419"/>
          <w14:ligatures w14:val="none"/>
        </w:rPr>
        <w:t xml:space="preserve"> una oportunidad para impulsar un nuevo estilo de desarrollo basado en la innovación, la productividad, la creación de empleo y la reducción de desigualdades. Todo ello refuerza el papel central del Estado como agente coordinador y orientador de estas transformaciones, con capacidades fortalecidas para planificar, anticipar, movilizar recursos y promover procesos de cambio estructural en contextos de alta incertidumbre y complejidad. </w:t>
      </w:r>
    </w:p>
    <w:p w14:paraId="7CFE1775" w14:textId="77777777" w:rsidR="00AD0C14" w:rsidRPr="00923440" w:rsidRDefault="00AD0C14" w:rsidP="00AD0C14">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5. Contribución del curso: innovación pública como vector para la gestión de las transformaciones</w:t>
      </w:r>
    </w:p>
    <w:p w14:paraId="3AD6E667" w14:textId="77777777" w:rsidR="00AD0C14" w:rsidRPr="00923440" w:rsidRDefault="00AD0C14" w:rsidP="00AD0C14">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El curso se posiciona como una herramienta estratégica para fortalecer capacidades del Estado frente a problemas complejos, utilizando el cambio climático como caso aplicado para incorporar enfoques avanzados de innovación pública e innovación anticipatoria en la gestión pública. Su principal valor radica en trasladar estos enfoques —tradicionalmente marginales o fragmentados— hacia el centro de la acción pública, dotando a los participantes de herramientas concretas para abordar desafíos caracterizados por alta incertidumbre, interdependencia y efectos de largo plazo.</w:t>
      </w:r>
    </w:p>
    <w:p w14:paraId="6151E3D8" w14:textId="148DEF93" w:rsidR="00AD0C14" w:rsidRPr="00923440" w:rsidRDefault="00AD0C14" w:rsidP="00AD0C14">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En línea con el enfoque de la CEPAL sobre capacidades institucionales técnicas, operativas, políticas y prospectivas (TOPP), el curso contribuye directamente a fortalecer el “cómo” implementar las transformaciones, complementando el diagnóstico sobre “qué hacer” en materia de desarrollo sostenible. Estas capacidades son fundamentales para diseñar, implementar, sostener y adaptar políticas públicas en contextos cambiantes, y constituyen el núcleo para gestionar transformaciones complejas de manera efectiva y sostenible. En este marco, la innovación pública se posiciona como un vector operativo que articula estas capacidades, permitiendo pasar de la formulación de políticas a su implementación efectiva, aprendizaje continuo y adaptación dinámica. </w:t>
      </w:r>
    </w:p>
    <w:p w14:paraId="1D9EBAED" w14:textId="041ACFEB" w:rsidR="00AD0C14" w:rsidRPr="00923440" w:rsidRDefault="00AD0C14" w:rsidP="00AD0C14">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Así, el curso incorpora explícitamente la innovación pública como herramienta central de gestión de la complejidad, promoviendo el pensamiento sistémico (capacidad técnica), la experimentación y el aprendizaje (capacidad operativa), el diseño centrado en las personas y la construcción de legitimidad (capacidad política), y la incorporación de nuevos enfoques para la toma de decisiones en contextos inciertos. De este modo, la innovación pública no solo genera soluciones puntuales, sino que fortalece las capacidades estructurales del Estado para coordinar actores, alinear incentivos y sostener procesos de cambio en el tiempo.</w:t>
      </w:r>
    </w:p>
    <w:p w14:paraId="6D75C753" w14:textId="242C9D64" w:rsidR="00AD0C14" w:rsidRPr="00923440" w:rsidRDefault="00AD0C14" w:rsidP="00AD0C14">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Adicionalmente, el curso introduce la innovación anticipatoria como un componente clave para fortalecer las capacidades prospectivas, una de las dimensiones centrales del enfoque TOPP. La CEPAL identifica que la región tiende a operar con horizontes de corto plazo y en modo reactivo, lo que limita la capacidad estatal para enfrentar problemas complejos como el cambio climático. Frente a ello, el curso incorpora herramientas como la prospectiva, la construcción de escenarios, la gobernanza anticipatoria y el análisis de riesgos emergentes, que permiten anticipar dinámicas futuras, identificar señales tempranas de cambio y orientar las decisiones presentes hacia trayectorias más sostenibles.</w:t>
      </w:r>
    </w:p>
    <w:p w14:paraId="3B5EF584" w14:textId="5A6CA1F4" w:rsidR="00AD0C14" w:rsidRPr="00923440" w:rsidRDefault="00AD0C14" w:rsidP="00AD0C14">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En conjunto, la innovación pública —potenciada por la innovación anticipatoria— funciona como un vector transversal para la gestión de las transformaciones propuestas por la CEPAL, al integrar capacidades </w:t>
      </w:r>
      <w:r w:rsidRPr="00923440">
        <w:rPr>
          <w:rFonts w:ascii="Times New Roman" w:eastAsia="Times New Roman" w:hAnsi="Times New Roman" w:cs="Times New Roman"/>
          <w:color w:val="1A1919"/>
          <w:kern w:val="0"/>
          <w:sz w:val="22"/>
          <w:szCs w:val="22"/>
          <w:lang w:val="es-419"/>
          <w14:ligatures w14:val="none"/>
        </w:rPr>
        <w:lastRenderedPageBreak/>
        <w:t>técnicas, operativas, políticas y prospectivas en un mismo enfoque de acción. Esto permite no solo mejorar la calidad de las políticas públicas, sino también fortalecer su implementación, legitimidad y capacidad de adaptación, contribuyendo directamente a cerrar las brechas del desarrollo y a avanzar hacia un modelo más productivo, inclusivo y sostenible.</w:t>
      </w:r>
    </w:p>
    <w:p w14:paraId="7D5121C5" w14:textId="77777777" w:rsidR="000B59BA" w:rsidRPr="00923440" w:rsidRDefault="000B59BA" w:rsidP="000B59BA">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6. Objetivo de la revisión de literatura</w:t>
      </w:r>
    </w:p>
    <w:p w14:paraId="5A77262D" w14:textId="77777777" w:rsidR="00090BED" w:rsidRPr="00923440" w:rsidRDefault="00090BED" w:rsidP="005D2D2C">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Objetivo: Elaborar una síntesis integral de la producción de la CEPAL (2015–2025) sobre cambio climático, con énfasis en implicancias y aplicaciones en los ámbitos nacional y subnacional.</w:t>
      </w:r>
    </w:p>
    <w:p w14:paraId="321DD3F5" w14:textId="77777777" w:rsidR="00090BED" w:rsidRPr="00923440" w:rsidRDefault="00090BED" w:rsidP="005D2D2C">
      <w:pPr>
        <w:jc w:val="both"/>
        <w:rPr>
          <w:rFonts w:ascii="Times New Roman" w:eastAsia="Times New Roman" w:hAnsi="Times New Roman" w:cs="Times New Roman"/>
          <w:color w:val="1A1919"/>
          <w:kern w:val="0"/>
          <w:sz w:val="22"/>
          <w:szCs w:val="22"/>
          <w:u w:val="single"/>
          <w:lang w:val="es-419"/>
          <w14:ligatures w14:val="none"/>
        </w:rPr>
      </w:pPr>
      <w:r w:rsidRPr="00923440">
        <w:rPr>
          <w:rFonts w:ascii="Times New Roman" w:eastAsia="Times New Roman" w:hAnsi="Times New Roman" w:cs="Times New Roman"/>
          <w:color w:val="1A1919"/>
          <w:kern w:val="0"/>
          <w:sz w:val="22"/>
          <w:szCs w:val="22"/>
          <w:u w:val="single"/>
          <w:lang w:val="es-419"/>
          <w14:ligatures w14:val="none"/>
        </w:rPr>
        <w:t>Preguntas de investigación:</w:t>
      </w:r>
    </w:p>
    <w:p w14:paraId="1F05D614" w14:textId="264EFA67"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¿Cuál es el estado actual del cambio climático </w:t>
      </w:r>
      <w:r w:rsidR="00B85C41" w:rsidRPr="00923440">
        <w:rPr>
          <w:rFonts w:ascii="Times New Roman" w:eastAsia="Times New Roman" w:hAnsi="Times New Roman" w:cs="Times New Roman"/>
          <w:color w:val="1A1919"/>
          <w:kern w:val="0"/>
          <w:sz w:val="22"/>
          <w:szCs w:val="22"/>
          <w:lang w:val="es-419"/>
          <w14:ligatures w14:val="none"/>
        </w:rPr>
        <w:t xml:space="preserve">y sus impactos </w:t>
      </w:r>
      <w:r w:rsidRPr="00923440">
        <w:rPr>
          <w:rFonts w:ascii="Times New Roman" w:eastAsia="Times New Roman" w:hAnsi="Times New Roman" w:cs="Times New Roman"/>
          <w:color w:val="1A1919"/>
          <w:kern w:val="0"/>
          <w:sz w:val="22"/>
          <w:szCs w:val="22"/>
          <w:lang w:val="es-419"/>
          <w14:ligatures w14:val="none"/>
        </w:rPr>
        <w:t>en los países de la región, según la CEPAL?</w:t>
      </w:r>
    </w:p>
    <w:p w14:paraId="3DF289C5" w14:textId="23782250"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w:t>
      </w:r>
      <w:r w:rsidR="00B85C41" w:rsidRPr="00923440">
        <w:rPr>
          <w:rFonts w:ascii="Times New Roman" w:eastAsia="Times New Roman" w:hAnsi="Times New Roman" w:cs="Times New Roman"/>
          <w:color w:val="1A1919"/>
          <w:kern w:val="0"/>
          <w:sz w:val="22"/>
          <w:szCs w:val="22"/>
          <w:lang w:val="es-419"/>
          <w14:ligatures w14:val="none"/>
        </w:rPr>
        <w:t xml:space="preserve">acción climática, </w:t>
      </w:r>
      <w:r w:rsidRPr="00923440">
        <w:rPr>
          <w:rFonts w:ascii="Times New Roman" w:eastAsia="Times New Roman" w:hAnsi="Times New Roman" w:cs="Times New Roman"/>
          <w:color w:val="1A1919"/>
          <w:kern w:val="0"/>
          <w:sz w:val="22"/>
          <w:szCs w:val="22"/>
          <w:lang w:val="es-419"/>
          <w14:ligatures w14:val="none"/>
        </w:rPr>
        <w:t>imp</w:t>
      </w:r>
      <w:r w:rsidR="00B85C41" w:rsidRPr="00923440">
        <w:rPr>
          <w:rFonts w:ascii="Times New Roman" w:eastAsia="Times New Roman" w:hAnsi="Times New Roman" w:cs="Times New Roman"/>
          <w:color w:val="1A1919"/>
          <w:kern w:val="0"/>
          <w:sz w:val="22"/>
          <w:szCs w:val="22"/>
          <w:lang w:val="es-419"/>
          <w14:ligatures w14:val="none"/>
        </w:rPr>
        <w:t>licaciones</w:t>
      </w:r>
      <w:r w:rsidRPr="00923440">
        <w:rPr>
          <w:rFonts w:ascii="Times New Roman" w:eastAsia="Times New Roman" w:hAnsi="Times New Roman" w:cs="Times New Roman"/>
          <w:color w:val="1A1919"/>
          <w:kern w:val="0"/>
          <w:sz w:val="22"/>
          <w:szCs w:val="22"/>
          <w:lang w:val="es-419"/>
          <w14:ligatures w14:val="none"/>
        </w:rPr>
        <w:t>, vulnerabilidades y riesgos diferenciados a nivel nacional y territorial)</w:t>
      </w:r>
    </w:p>
    <w:p w14:paraId="22850D69"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1C9C0F81" w14:textId="48FB8331"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¿Cuál es el diagnóstico estructural que plantea la CEPAL</w:t>
      </w:r>
      <w:r w:rsidR="00B85C41" w:rsidRPr="00923440">
        <w:rPr>
          <w:rFonts w:ascii="Times New Roman" w:eastAsia="Times New Roman" w:hAnsi="Times New Roman" w:cs="Times New Roman"/>
          <w:color w:val="1A1919"/>
          <w:kern w:val="0"/>
          <w:sz w:val="22"/>
          <w:szCs w:val="22"/>
          <w:lang w:val="es-419"/>
          <w14:ligatures w14:val="none"/>
        </w:rPr>
        <w:t xml:space="preserve"> para la transición energética y la adaptació</w:t>
      </w:r>
      <w:r w:rsidR="00B85C41" w:rsidRPr="00923440">
        <w:rPr>
          <w:lang w:val="es-419"/>
        </w:rPr>
        <w:t>n</w:t>
      </w:r>
      <w:r w:rsidR="00B85C41" w:rsidRPr="00923440">
        <w:rPr>
          <w:rFonts w:ascii="Times New Roman" w:eastAsia="Times New Roman" w:hAnsi="Times New Roman" w:cs="Times New Roman"/>
          <w:color w:val="1A1919"/>
          <w:kern w:val="0"/>
          <w:sz w:val="22"/>
          <w:szCs w:val="22"/>
          <w:lang w:val="es-419"/>
          <w14:ligatures w14:val="none"/>
        </w:rPr>
        <w:t xml:space="preserve"> al cambio climático</w:t>
      </w:r>
      <w:r w:rsidRPr="00923440">
        <w:rPr>
          <w:rFonts w:ascii="Times New Roman" w:eastAsia="Times New Roman" w:hAnsi="Times New Roman" w:cs="Times New Roman"/>
          <w:color w:val="1A1919"/>
          <w:kern w:val="0"/>
          <w:sz w:val="22"/>
          <w:szCs w:val="22"/>
          <w:lang w:val="es-419"/>
          <w14:ligatures w14:val="none"/>
        </w:rPr>
        <w:t xml:space="preserve"> a nivel nacional y subnacional?</w:t>
      </w:r>
    </w:p>
    <w:p w14:paraId="2A0B7F89" w14:textId="77777777"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(factores productivos, sociales, territoriales e institucionales que condicionan la acción climática)</w:t>
      </w:r>
    </w:p>
    <w:p w14:paraId="38A68388"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1628830A" w14:textId="77777777"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¿Qué enfoques, lineamientos de política e instrumentos propone la CEPAL para la acción climática en los países y territorios?</w:t>
      </w:r>
    </w:p>
    <w:p w14:paraId="2B37C910" w14:textId="77777777"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(planificación, gobernanza, financiamiento, capacidades estatales)</w:t>
      </w:r>
    </w:p>
    <w:p w14:paraId="0C6CC068"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57946522" w14:textId="70AE0DB7" w:rsidR="00B85C41" w:rsidRPr="00923440" w:rsidRDefault="00B85C41">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¿Qué herramientas de análisis promueve la CEPAL para la gestión de la transición climática desde los tomadores de decisiones económicas y financieras? </w:t>
      </w:r>
    </w:p>
    <w:p w14:paraId="1DD67E27" w14:textId="77777777" w:rsidR="00923440" w:rsidRPr="00923440" w:rsidRDefault="00923440" w:rsidP="00923440">
      <w:pPr>
        <w:pStyle w:val="ListParagraph"/>
        <w:ind w:left="360"/>
        <w:jc w:val="both"/>
        <w:rPr>
          <w:rFonts w:ascii="Times New Roman" w:eastAsia="Times New Roman" w:hAnsi="Times New Roman" w:cs="Times New Roman"/>
          <w:color w:val="1A1919"/>
          <w:kern w:val="0"/>
          <w:sz w:val="22"/>
          <w:szCs w:val="22"/>
          <w:lang w:val="es-419"/>
          <w14:ligatures w14:val="none"/>
        </w:rPr>
      </w:pPr>
    </w:p>
    <w:p w14:paraId="162927A8" w14:textId="08D46787"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¿Qué avances concretos han logrado los países —incluyendo niveles subnacionales— y en qué ámbitos persisten brechas de implementación?</w:t>
      </w:r>
    </w:p>
    <w:p w14:paraId="27062AD5"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43E31E64" w14:textId="77777777"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¿Qué tendencias se observan en el período 2015–2025 en la acción climática a nivel nacional y territorial?</w:t>
      </w:r>
    </w:p>
    <w:p w14:paraId="7B11AB4E" w14:textId="77777777"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(políticas públicas, institucionalidad, inversión, articulación multinivel)</w:t>
      </w:r>
    </w:p>
    <w:p w14:paraId="25504DF3"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6FE5CC63" w14:textId="77777777"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¿Cuáles son los principales desafíos para la implementación efectiva de políticas climáticas en los niveles nacional y subnacional?</w:t>
      </w:r>
    </w:p>
    <w:p w14:paraId="5DDEF84F" w14:textId="77777777"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(coordinación, capacidades, financiamiento, información, gobernanza)</w:t>
      </w:r>
    </w:p>
    <w:p w14:paraId="5267CB6B" w14:textId="77777777" w:rsidR="00DD5474" w:rsidRPr="00923440" w:rsidRDefault="00DD5474"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4DE8E2C3" w14:textId="35001CF0" w:rsidR="00090BED" w:rsidRPr="00923440" w:rsidRDefault="00090BED">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¿Qué oportunidades estratégicas identifica la CEPAL para fortalecer la acción climática desde los países y territorios?</w:t>
      </w:r>
      <w:r w:rsidR="00B85C41" w:rsidRPr="00923440">
        <w:rPr>
          <w:rFonts w:ascii="Times New Roman" w:eastAsia="Times New Roman" w:hAnsi="Times New Roman" w:cs="Times New Roman"/>
          <w:color w:val="1A1919"/>
          <w:kern w:val="0"/>
          <w:sz w:val="22"/>
          <w:szCs w:val="22"/>
          <w:lang w:val="es-419"/>
          <w14:ligatures w14:val="none"/>
        </w:rPr>
        <w:t xml:space="preserve"> </w:t>
      </w:r>
      <w:r w:rsidR="00B85C41" w:rsidRPr="00923440">
        <w:rPr>
          <w:rFonts w:ascii="Times New Roman" w:eastAsia="Times New Roman" w:hAnsi="Times New Roman" w:cs="Times New Roman"/>
          <w:color w:val="1A1919"/>
          <w:kern w:val="0"/>
          <w:sz w:val="22"/>
          <w:szCs w:val="22"/>
          <w:lang w:val="es-419"/>
          <w14:ligatures w14:val="none"/>
        </w:rPr>
        <w:t>(transformación productiva, desarrollo territorial, inversiones verdes, cooperación descentralizada)</w:t>
      </w:r>
    </w:p>
    <w:p w14:paraId="7EE6F699" w14:textId="77777777" w:rsidR="00923440" w:rsidRPr="00923440" w:rsidRDefault="00923440" w:rsidP="00923440">
      <w:pPr>
        <w:pStyle w:val="ListParagraph"/>
        <w:ind w:left="360"/>
        <w:jc w:val="both"/>
        <w:rPr>
          <w:rFonts w:ascii="Times New Roman" w:eastAsia="Times New Roman" w:hAnsi="Times New Roman" w:cs="Times New Roman"/>
          <w:color w:val="1A1919"/>
          <w:kern w:val="0"/>
          <w:sz w:val="22"/>
          <w:szCs w:val="22"/>
          <w:lang w:val="es-419"/>
          <w14:ligatures w14:val="none"/>
        </w:rPr>
      </w:pPr>
    </w:p>
    <w:p w14:paraId="2310D7C0" w14:textId="26C387BB" w:rsidR="00B85C41" w:rsidRPr="00923440" w:rsidRDefault="00B85C41">
      <w:pPr>
        <w:pStyle w:val="ListParagraph"/>
        <w:numPr>
          <w:ilvl w:val="0"/>
          <w:numId w:val="4"/>
        </w:num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¿Qué tipo de participación pública para la toma de decisiones propone la CEPAL en cuestiones de cambio climático?</w:t>
      </w:r>
    </w:p>
    <w:p w14:paraId="6CF24061" w14:textId="52C90FA2" w:rsidR="00090BED" w:rsidRPr="00923440" w:rsidRDefault="00090BED"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0C196B3B" w14:textId="460E9733" w:rsidR="00B85C41" w:rsidRPr="00923440" w:rsidRDefault="00B85C41" w:rsidP="005D2D2C">
      <w:pPr>
        <w:pStyle w:val="ListParagraph"/>
        <w:ind w:left="360"/>
        <w:jc w:val="both"/>
        <w:rPr>
          <w:rFonts w:ascii="Times New Roman" w:eastAsia="Times New Roman" w:hAnsi="Times New Roman" w:cs="Times New Roman"/>
          <w:color w:val="1A1919"/>
          <w:kern w:val="0"/>
          <w:sz w:val="22"/>
          <w:szCs w:val="22"/>
          <w:lang w:val="es-419"/>
          <w14:ligatures w14:val="none"/>
        </w:rPr>
      </w:pPr>
    </w:p>
    <w:p w14:paraId="70DC2B6E" w14:textId="0545BB31" w:rsidR="005D2D2C" w:rsidRPr="00923440" w:rsidRDefault="005D2D2C" w:rsidP="005D2D2C">
      <w:pPr>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lastRenderedPageBreak/>
        <w:t xml:space="preserve">7. Metodología de la revisión </w:t>
      </w:r>
    </w:p>
    <w:p w14:paraId="138E836B" w14:textId="685233DD"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La revisión se realizará en </w:t>
      </w:r>
      <w:r w:rsidR="00927B57" w:rsidRPr="00923440">
        <w:rPr>
          <w:rFonts w:ascii="Times New Roman" w:eastAsia="Times New Roman" w:hAnsi="Times New Roman" w:cs="Times New Roman"/>
          <w:color w:val="1A1919"/>
          <w:kern w:val="0"/>
          <w:sz w:val="22"/>
          <w:szCs w:val="22"/>
          <w:lang w:val="es-419"/>
          <w14:ligatures w14:val="none"/>
        </w:rPr>
        <w:t xml:space="preserve">seis </w:t>
      </w:r>
      <w:r w:rsidRPr="00923440">
        <w:rPr>
          <w:rFonts w:ascii="Times New Roman" w:eastAsia="Times New Roman" w:hAnsi="Times New Roman" w:cs="Times New Roman"/>
          <w:color w:val="1A1919"/>
          <w:kern w:val="0"/>
          <w:sz w:val="22"/>
          <w:szCs w:val="22"/>
          <w:lang w:val="es-419"/>
          <w14:ligatures w14:val="none"/>
        </w:rPr>
        <w:t>etapas, incorporando un enfoque analítico orientado a políticas públicas y capacidades a nivel nacional y subnacional:</w:t>
      </w:r>
    </w:p>
    <w:p w14:paraId="07F164CA" w14:textId="77777777" w:rsidR="005D2D2C" w:rsidRPr="00923440" w:rsidRDefault="005D2D2C" w:rsidP="005D2D2C">
      <w:pPr>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1. Selección inicial</w:t>
      </w:r>
    </w:p>
    <w:p w14:paraId="52B4601D" w14:textId="4380BE30"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Levantamiento de un listado preliminar de publicaciones CEPAL sobre cambio climático (2015–2025), elaborado por CEPAL Lab.</w:t>
      </w:r>
    </w:p>
    <w:p w14:paraId="47281990" w14:textId="0D70129C" w:rsidR="004014BC" w:rsidRPr="00923440" w:rsidRDefault="004014BC" w:rsidP="004014BC">
      <w:pPr>
        <w:rPr>
          <w:rFonts w:ascii="Times New Roman" w:eastAsia="Times New Roman" w:hAnsi="Times New Roman" w:cs="Times New Roman"/>
          <w:b/>
          <w:bCs/>
          <w:i/>
          <w:iCs/>
          <w:color w:val="1A1919"/>
          <w:kern w:val="0"/>
          <w:sz w:val="22"/>
          <w:szCs w:val="22"/>
          <w:lang w:val="es-419"/>
          <w14:ligatures w14:val="none"/>
        </w:rPr>
      </w:pPr>
      <w:r w:rsidRPr="00923440">
        <w:rPr>
          <w:rFonts w:ascii="Times New Roman" w:eastAsia="Times New Roman" w:hAnsi="Times New Roman" w:cs="Times New Roman"/>
          <w:b/>
          <w:bCs/>
          <w:i/>
          <w:iCs/>
          <w:color w:val="1A1919"/>
          <w:kern w:val="0"/>
          <w:sz w:val="22"/>
          <w:szCs w:val="22"/>
          <w:lang w:val="es-419"/>
          <w14:ligatures w14:val="none"/>
        </w:rPr>
        <w:t xml:space="preserve">Criterios de inclusión </w:t>
      </w:r>
    </w:p>
    <w:p w14:paraId="686986E5" w14:textId="77777777" w:rsidR="004014BC" w:rsidRPr="00923440" w:rsidRDefault="004014BC" w:rsidP="004014BC">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Se incluirán publicaciones de la CEPAL (2015–2025) que cumplan con al menos dos de los siguientes criterios, y obligatoriamente el primero:</w:t>
      </w:r>
    </w:p>
    <w:p w14:paraId="3368FA60" w14:textId="6C8F2BF2" w:rsidR="004014BC" w:rsidRPr="00923440" w:rsidRDefault="004014BC">
      <w:pPr>
        <w:pStyle w:val="ListParagraph"/>
        <w:numPr>
          <w:ilvl w:val="0"/>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Pertinencia temática directa</w:t>
      </w:r>
      <w:r w:rsidRPr="00923440">
        <w:rPr>
          <w:rFonts w:ascii="Times New Roman" w:eastAsia="Times New Roman" w:hAnsi="Times New Roman" w:cs="Times New Roman"/>
          <w:color w:val="1A1919"/>
          <w:kern w:val="0"/>
          <w:sz w:val="22"/>
          <w:szCs w:val="22"/>
          <w:lang w:val="es-419"/>
          <w14:ligatures w14:val="none"/>
        </w:rPr>
        <w:t xml:space="preserve"> </w:t>
      </w:r>
    </w:p>
    <w:p w14:paraId="5D5A0007"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Abordan explícitamente el cambio climático, sus impactos o la acción climática en América Latina y el Caribe. </w:t>
      </w:r>
    </w:p>
    <w:p w14:paraId="60BFED80"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Incluyen vínculos con desarrollo sostenible, transformación productiva o política pública. </w:t>
      </w:r>
    </w:p>
    <w:p w14:paraId="3E0722FD" w14:textId="77777777" w:rsidR="004014BC" w:rsidRPr="00923440" w:rsidRDefault="004014BC">
      <w:pPr>
        <w:numPr>
          <w:ilvl w:val="0"/>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Contenido analítico relevante para las preguntas de investigación</w:t>
      </w:r>
      <w:r w:rsidRPr="00923440">
        <w:rPr>
          <w:rFonts w:ascii="Times New Roman" w:eastAsia="Times New Roman" w:hAnsi="Times New Roman" w:cs="Times New Roman"/>
          <w:color w:val="1A1919"/>
          <w:kern w:val="0"/>
          <w:sz w:val="22"/>
          <w:szCs w:val="22"/>
          <w:lang w:val="es-419"/>
          <w14:ligatures w14:val="none"/>
        </w:rPr>
        <w:t xml:space="preserve"> </w:t>
      </w:r>
    </w:p>
    <w:p w14:paraId="32D6156F"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Desarrollan al menos uno de los siguientes aspectos: </w:t>
      </w:r>
    </w:p>
    <w:p w14:paraId="5A010EC7" w14:textId="7E37FB24"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estado de situación (impactos, vulnerabilidad</w:t>
      </w:r>
      <w:r w:rsidR="002D269C" w:rsidRPr="00923440">
        <w:rPr>
          <w:rFonts w:ascii="Times New Roman" w:eastAsia="Times New Roman" w:hAnsi="Times New Roman" w:cs="Times New Roman"/>
          <w:color w:val="1A1919"/>
          <w:kern w:val="0"/>
          <w:sz w:val="22"/>
          <w:szCs w:val="22"/>
          <w:lang w:val="es-419"/>
          <w14:ligatures w14:val="none"/>
        </w:rPr>
        <w:t>, qué está pasando)</w:t>
      </w:r>
    </w:p>
    <w:p w14:paraId="75A0BEC2" w14:textId="377CF670"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diagnóstico estructural </w:t>
      </w:r>
      <w:r w:rsidR="002D269C" w:rsidRPr="00923440">
        <w:rPr>
          <w:rFonts w:ascii="Times New Roman" w:eastAsia="Times New Roman" w:hAnsi="Times New Roman" w:cs="Times New Roman"/>
          <w:color w:val="1A1919"/>
          <w:kern w:val="0"/>
          <w:sz w:val="22"/>
          <w:szCs w:val="22"/>
          <w:lang w:val="es-419"/>
          <w14:ligatures w14:val="none"/>
        </w:rPr>
        <w:t>(por qué pasa y qué lo explica)</w:t>
      </w:r>
    </w:p>
    <w:p w14:paraId="32C309D8"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propuestas de política </w:t>
      </w:r>
    </w:p>
    <w:p w14:paraId="7F5D7690"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análisis de tendencias </w:t>
      </w:r>
    </w:p>
    <w:p w14:paraId="3F9A5D03"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identificación de desafíos u oportunidades </w:t>
      </w:r>
    </w:p>
    <w:p w14:paraId="1FEF08BE" w14:textId="77777777" w:rsidR="004014BC" w:rsidRPr="00923440" w:rsidRDefault="004014BC">
      <w:pPr>
        <w:numPr>
          <w:ilvl w:val="0"/>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Orientación a políticas públicas</w:t>
      </w:r>
      <w:r w:rsidRPr="00923440">
        <w:rPr>
          <w:rFonts w:ascii="Times New Roman" w:eastAsia="Times New Roman" w:hAnsi="Times New Roman" w:cs="Times New Roman"/>
          <w:color w:val="1A1919"/>
          <w:kern w:val="0"/>
          <w:sz w:val="22"/>
          <w:szCs w:val="22"/>
          <w:lang w:val="es-419"/>
          <w14:ligatures w14:val="none"/>
        </w:rPr>
        <w:t xml:space="preserve"> </w:t>
      </w:r>
    </w:p>
    <w:p w14:paraId="302F33E5"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Presentan lineamientos, recomendaciones, instrumentos o marcos de acción para gobiernos. </w:t>
      </w:r>
    </w:p>
    <w:p w14:paraId="1DE6ADFD"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Incluyen discusión sobre planificación, gobernanza, financiamiento o institucionalidad. </w:t>
      </w:r>
    </w:p>
    <w:p w14:paraId="35AD7590" w14:textId="77777777" w:rsidR="004014BC" w:rsidRPr="00923440" w:rsidRDefault="004014BC">
      <w:pPr>
        <w:numPr>
          <w:ilvl w:val="0"/>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Referencia a implementación</w:t>
      </w:r>
      <w:r w:rsidRPr="00923440">
        <w:rPr>
          <w:rFonts w:ascii="Times New Roman" w:eastAsia="Times New Roman" w:hAnsi="Times New Roman" w:cs="Times New Roman"/>
          <w:color w:val="1A1919"/>
          <w:kern w:val="0"/>
          <w:sz w:val="22"/>
          <w:szCs w:val="22"/>
          <w:lang w:val="es-419"/>
          <w14:ligatures w14:val="none"/>
        </w:rPr>
        <w:t xml:space="preserve"> </w:t>
      </w:r>
    </w:p>
    <w:p w14:paraId="5A83E70F"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Contienen evidencia, ejemplos o análisis de: </w:t>
      </w:r>
    </w:p>
    <w:p w14:paraId="11440ACF"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avances de países </w:t>
      </w:r>
    </w:p>
    <w:p w14:paraId="7A5F714D"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experiencias nacionales o subnacionales </w:t>
      </w:r>
    </w:p>
    <w:p w14:paraId="3A8A8977"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procesos de implementación de políticas climáticas </w:t>
      </w:r>
    </w:p>
    <w:p w14:paraId="6FC862AF" w14:textId="77777777" w:rsidR="004014BC" w:rsidRPr="00923440" w:rsidRDefault="004014BC">
      <w:pPr>
        <w:numPr>
          <w:ilvl w:val="0"/>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Escala de análisis relevante</w:t>
      </w:r>
      <w:r w:rsidRPr="00923440">
        <w:rPr>
          <w:rFonts w:ascii="Times New Roman" w:eastAsia="Times New Roman" w:hAnsi="Times New Roman" w:cs="Times New Roman"/>
          <w:color w:val="1A1919"/>
          <w:kern w:val="0"/>
          <w:sz w:val="22"/>
          <w:szCs w:val="22"/>
          <w:lang w:val="es-419"/>
          <w14:ligatures w14:val="none"/>
        </w:rPr>
        <w:t xml:space="preserve"> </w:t>
      </w:r>
    </w:p>
    <w:p w14:paraId="757EC636" w14:textId="77777777" w:rsidR="004014BC" w:rsidRPr="00923440" w:rsidRDefault="004014BC">
      <w:pPr>
        <w:numPr>
          <w:ilvl w:val="1"/>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Incluyen implicancias a nivel: </w:t>
      </w:r>
    </w:p>
    <w:p w14:paraId="1B870286"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lastRenderedPageBreak/>
        <w:t xml:space="preserve">nacional </w:t>
      </w:r>
    </w:p>
    <w:p w14:paraId="2578A0BA" w14:textId="77777777" w:rsidR="004014BC" w:rsidRPr="00923440" w:rsidRDefault="004014BC">
      <w:pPr>
        <w:numPr>
          <w:ilvl w:val="2"/>
          <w:numId w:val="5"/>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subnacional (territorial, local, sectorial) </w:t>
      </w:r>
    </w:p>
    <w:p w14:paraId="1FBAD571" w14:textId="77777777" w:rsidR="004014BC" w:rsidRPr="00923440" w:rsidRDefault="004014BC">
      <w:pPr>
        <w:numPr>
          <w:ilvl w:val="1"/>
          <w:numId w:val="5"/>
        </w:numPr>
        <w:rPr>
          <w:rFonts w:ascii="Times New Roman" w:eastAsia="Times New Roman" w:hAnsi="Times New Roman" w:cs="Times New Roman"/>
          <w:i/>
          <w:iCs/>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No se limitan exclusivamente a análisis globales o conceptuales sin aterrizaje en la región.</w:t>
      </w:r>
      <w:r w:rsidRPr="00923440">
        <w:rPr>
          <w:rFonts w:ascii="Times New Roman" w:eastAsia="Times New Roman" w:hAnsi="Times New Roman" w:cs="Times New Roman"/>
          <w:i/>
          <w:iCs/>
          <w:color w:val="1A1919"/>
          <w:kern w:val="0"/>
          <w:sz w:val="22"/>
          <w:szCs w:val="22"/>
          <w:lang w:val="es-419"/>
          <w14:ligatures w14:val="none"/>
        </w:rPr>
        <w:t xml:space="preserve"> </w:t>
      </w:r>
    </w:p>
    <w:p w14:paraId="1FCED91D" w14:textId="52BAC47F" w:rsidR="004014BC" w:rsidRPr="00923440" w:rsidRDefault="004014BC" w:rsidP="004014BC">
      <w:pPr>
        <w:rPr>
          <w:rFonts w:ascii="Times New Roman" w:eastAsia="Times New Roman" w:hAnsi="Times New Roman" w:cs="Times New Roman"/>
          <w:b/>
          <w:bCs/>
          <w:i/>
          <w:iCs/>
          <w:color w:val="1A1919"/>
          <w:kern w:val="0"/>
          <w:sz w:val="22"/>
          <w:szCs w:val="22"/>
          <w:lang w:val="es-419"/>
          <w14:ligatures w14:val="none"/>
        </w:rPr>
      </w:pPr>
      <w:r w:rsidRPr="00923440">
        <w:rPr>
          <w:rFonts w:ascii="Times New Roman" w:eastAsia="Times New Roman" w:hAnsi="Times New Roman" w:cs="Times New Roman"/>
          <w:b/>
          <w:bCs/>
          <w:i/>
          <w:iCs/>
          <w:color w:val="1A1919"/>
          <w:kern w:val="0"/>
          <w:sz w:val="22"/>
          <w:szCs w:val="22"/>
          <w:lang w:val="es-419"/>
          <w14:ligatures w14:val="none"/>
        </w:rPr>
        <w:t>Criterio de exclusión</w:t>
      </w:r>
    </w:p>
    <w:p w14:paraId="39F8CB50" w14:textId="77777777" w:rsidR="004014BC" w:rsidRPr="00923440" w:rsidRDefault="004014BC">
      <w:pPr>
        <w:numPr>
          <w:ilvl w:val="0"/>
          <w:numId w:val="6"/>
        </w:numPr>
        <w:rPr>
          <w:rFonts w:ascii="Times New Roman" w:eastAsia="Times New Roman" w:hAnsi="Times New Roman" w:cs="Times New Roman"/>
          <w:i/>
          <w:iCs/>
          <w:color w:val="1A1919"/>
          <w:kern w:val="0"/>
          <w:sz w:val="22"/>
          <w:szCs w:val="22"/>
          <w:lang w:val="es-419"/>
          <w14:ligatures w14:val="none"/>
        </w:rPr>
      </w:pPr>
      <w:r w:rsidRPr="00923440">
        <w:rPr>
          <w:rFonts w:ascii="Times New Roman" w:eastAsia="Times New Roman" w:hAnsi="Times New Roman" w:cs="Times New Roman"/>
          <w:i/>
          <w:iCs/>
          <w:color w:val="1A1919"/>
          <w:kern w:val="0"/>
          <w:sz w:val="22"/>
          <w:szCs w:val="22"/>
          <w:lang w:val="es-419"/>
          <w14:ligatures w14:val="none"/>
        </w:rPr>
        <w:t xml:space="preserve">Informes que no aborden cambio climático de forma sustantiva (solo menciones marginales) </w:t>
      </w:r>
    </w:p>
    <w:p w14:paraId="7B76AB69" w14:textId="6FE5CB49" w:rsidR="005D2D2C" w:rsidRPr="00923440" w:rsidRDefault="005D2D2C" w:rsidP="005D2D2C">
      <w:pPr>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2. Validación experta</w:t>
      </w:r>
    </w:p>
    <w:p w14:paraId="129AD1D6" w14:textId="4E021634"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Revisión y priorización por el equipo del curso</w:t>
      </w:r>
      <w:r w:rsidR="00927B57" w:rsidRPr="00923440">
        <w:rPr>
          <w:rFonts w:ascii="Times New Roman" w:eastAsia="Times New Roman" w:hAnsi="Times New Roman" w:cs="Times New Roman"/>
          <w:color w:val="1A1919"/>
          <w:kern w:val="0"/>
          <w:sz w:val="22"/>
          <w:szCs w:val="22"/>
          <w:lang w:val="es-419"/>
          <w14:ligatures w14:val="none"/>
        </w:rPr>
        <w:t xml:space="preserve"> (Santiago Lorenzo, VTL)</w:t>
      </w:r>
    </w:p>
    <w:p w14:paraId="5870B2F7"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Ajuste del corpus asegurando cobertura de:</w:t>
      </w:r>
    </w:p>
    <w:p w14:paraId="768E9EB8"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diagnósticos estructurales</w:t>
      </w:r>
    </w:p>
    <w:p w14:paraId="586BF5C0"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propuestas de política</w:t>
      </w:r>
    </w:p>
    <w:p w14:paraId="40BF98CC"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evidencia de implementación (países/territorios)</w:t>
      </w:r>
    </w:p>
    <w:p w14:paraId="11559FFB" w14:textId="77777777" w:rsidR="005D2D2C" w:rsidRPr="00923440" w:rsidRDefault="005D2D2C" w:rsidP="005D2D2C">
      <w:pPr>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3. Procesamiento con IA (análisis guiado por preguntas)</w:t>
      </w:r>
    </w:p>
    <w:p w14:paraId="1CE719CE" w14:textId="67C63D3B"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Lectura asistida por IA.</w:t>
      </w:r>
    </w:p>
    <w:p w14:paraId="68D5C176"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Extracción y codificación de información en función de las preguntas de investigación, organizando el material en las siguientes dimensiones:</w:t>
      </w:r>
    </w:p>
    <w:p w14:paraId="6B6BAC99"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estado de situación (impactos, vulnerabilidad)</w:t>
      </w:r>
    </w:p>
    <w:p w14:paraId="1CC95688"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diagnóstico estructural</w:t>
      </w:r>
    </w:p>
    <w:p w14:paraId="73095713"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propuestas e instrumentos de política</w:t>
      </w:r>
    </w:p>
    <w:p w14:paraId="485E7288"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avances y brechas de implementación</w:t>
      </w:r>
    </w:p>
    <w:p w14:paraId="6A5CA458"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tendencias</w:t>
      </w:r>
    </w:p>
    <w:p w14:paraId="7F19B51B"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desafíos</w:t>
      </w:r>
    </w:p>
    <w:p w14:paraId="1845D7A7" w14:textId="77777777" w:rsidR="005D2D2C" w:rsidRPr="00923440" w:rsidRDefault="005D2D2C">
      <w:pPr>
        <w:pStyle w:val="ListParagraph"/>
        <w:numPr>
          <w:ilvl w:val="0"/>
          <w:numId w:val="7"/>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oportunidades</w:t>
      </w:r>
    </w:p>
    <w:p w14:paraId="4A6EEB79"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Etiquetado adicional:</w:t>
      </w:r>
    </w:p>
    <w:p w14:paraId="1C4C5794" w14:textId="77777777" w:rsidR="005D2D2C" w:rsidRPr="00923440" w:rsidRDefault="005D2D2C">
      <w:pPr>
        <w:pStyle w:val="ListParagraph"/>
        <w:numPr>
          <w:ilvl w:val="0"/>
          <w:numId w:val="8"/>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nivel de aplicación (nacional / subnacional / regional)</w:t>
      </w:r>
    </w:p>
    <w:p w14:paraId="37C87B58" w14:textId="77777777" w:rsidR="005D2D2C" w:rsidRPr="00923440" w:rsidRDefault="005D2D2C">
      <w:pPr>
        <w:pStyle w:val="ListParagraph"/>
        <w:numPr>
          <w:ilvl w:val="0"/>
          <w:numId w:val="8"/>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tipo de instrumento (planificación, regulación, financiamiento, gobernanza)</w:t>
      </w:r>
    </w:p>
    <w:p w14:paraId="2130A9C0" w14:textId="77777777" w:rsidR="005D2D2C" w:rsidRPr="00923440" w:rsidRDefault="005D2D2C" w:rsidP="005D2D2C">
      <w:pPr>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4. Análisis estructurado (énfasis en implementación)</w:t>
      </w:r>
    </w:p>
    <w:p w14:paraId="62ECE8DD"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Identificación de:</w:t>
      </w:r>
    </w:p>
    <w:p w14:paraId="35AE5661" w14:textId="77777777" w:rsidR="005D2D2C" w:rsidRPr="00923440" w:rsidRDefault="005D2D2C">
      <w:pPr>
        <w:pStyle w:val="ListParagraph"/>
        <w:numPr>
          <w:ilvl w:val="0"/>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patrones y convergencias en diagnósticos CEPAL</w:t>
      </w:r>
    </w:p>
    <w:p w14:paraId="7C3496E2" w14:textId="77777777" w:rsidR="005D2D2C" w:rsidRPr="00923440" w:rsidRDefault="005D2D2C">
      <w:pPr>
        <w:pStyle w:val="ListParagraph"/>
        <w:numPr>
          <w:ilvl w:val="0"/>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evolución de enfoques (2015–2025)</w:t>
      </w:r>
    </w:p>
    <w:p w14:paraId="088D5F88" w14:textId="77777777" w:rsidR="005D2D2C" w:rsidRPr="00923440" w:rsidRDefault="005D2D2C">
      <w:pPr>
        <w:pStyle w:val="ListParagraph"/>
        <w:numPr>
          <w:ilvl w:val="0"/>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coherencia entre propuestas y avances observados</w:t>
      </w:r>
    </w:p>
    <w:p w14:paraId="32968899" w14:textId="77777777" w:rsidR="005D2D2C" w:rsidRPr="00923440" w:rsidRDefault="005D2D2C">
      <w:pPr>
        <w:pStyle w:val="ListParagraph"/>
        <w:numPr>
          <w:ilvl w:val="0"/>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Análisis específico de:</w:t>
      </w:r>
    </w:p>
    <w:p w14:paraId="54032528"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gobernanza multinivel</w:t>
      </w:r>
    </w:p>
    <w:p w14:paraId="17B545A0"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capacidades estatales (técnicas, institucionales, financieras)</w:t>
      </w:r>
    </w:p>
    <w:p w14:paraId="203CD9A7"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lastRenderedPageBreak/>
        <w:t>brechas de implementación en países y territorios</w:t>
      </w:r>
    </w:p>
    <w:p w14:paraId="59769CEE"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Síntesis transversal con énfasis en:</w:t>
      </w:r>
    </w:p>
    <w:p w14:paraId="366F3851"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tendencias</w:t>
      </w:r>
    </w:p>
    <w:p w14:paraId="63D05DCE"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desafíos críticos</w:t>
      </w:r>
    </w:p>
    <w:p w14:paraId="4BAB94A2" w14:textId="77777777" w:rsidR="005D2D2C" w:rsidRPr="00923440" w:rsidRDefault="005D2D2C">
      <w:pPr>
        <w:pStyle w:val="ListParagraph"/>
        <w:numPr>
          <w:ilvl w:val="1"/>
          <w:numId w:val="9"/>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oportunidades estratégicas</w:t>
      </w:r>
    </w:p>
    <w:p w14:paraId="1071DACE" w14:textId="0E3692D1" w:rsidR="005D2D2C" w:rsidRPr="00923440" w:rsidRDefault="005D2D2C" w:rsidP="005D2D2C">
      <w:pPr>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5. Síntesis</w:t>
      </w:r>
      <w:r w:rsidR="00927B57" w:rsidRPr="00923440">
        <w:rPr>
          <w:rFonts w:ascii="Times New Roman" w:eastAsia="Times New Roman" w:hAnsi="Times New Roman" w:cs="Times New Roman"/>
          <w:b/>
          <w:bCs/>
          <w:color w:val="1A1919"/>
          <w:kern w:val="0"/>
          <w:sz w:val="22"/>
          <w:szCs w:val="22"/>
          <w:u w:val="single"/>
          <w:lang w:val="es-419"/>
          <w14:ligatures w14:val="none"/>
        </w:rPr>
        <w:t xml:space="preserve"> borrador</w:t>
      </w:r>
    </w:p>
    <w:p w14:paraId="7AE3BD0A" w14:textId="163F9CF3"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 xml:space="preserve">Elaboración de </w:t>
      </w:r>
      <w:r w:rsidR="00927B57" w:rsidRPr="00923440">
        <w:rPr>
          <w:rFonts w:ascii="Times New Roman" w:eastAsia="Times New Roman" w:hAnsi="Times New Roman" w:cs="Times New Roman"/>
          <w:color w:val="1A1919"/>
          <w:kern w:val="0"/>
          <w:sz w:val="22"/>
          <w:szCs w:val="22"/>
          <w:lang w:val="es-419"/>
          <w14:ligatures w14:val="none"/>
        </w:rPr>
        <w:t xml:space="preserve">borrador de </w:t>
      </w:r>
      <w:r w:rsidRPr="00923440">
        <w:rPr>
          <w:rFonts w:ascii="Times New Roman" w:eastAsia="Times New Roman" w:hAnsi="Times New Roman" w:cs="Times New Roman"/>
          <w:color w:val="1A1919"/>
          <w:kern w:val="0"/>
          <w:sz w:val="22"/>
          <w:szCs w:val="22"/>
          <w:lang w:val="es-419"/>
          <w14:ligatures w14:val="none"/>
        </w:rPr>
        <w:t>documento fina</w:t>
      </w:r>
      <w:r w:rsidR="00927B57" w:rsidRPr="00923440">
        <w:rPr>
          <w:rFonts w:ascii="Times New Roman" w:eastAsia="Times New Roman" w:hAnsi="Times New Roman" w:cs="Times New Roman"/>
          <w:color w:val="1A1919"/>
          <w:kern w:val="0"/>
          <w:sz w:val="22"/>
          <w:szCs w:val="22"/>
          <w:lang w:val="es-419"/>
          <w14:ligatures w14:val="none"/>
        </w:rPr>
        <w:t>l</w:t>
      </w:r>
      <w:r w:rsidRPr="00923440">
        <w:rPr>
          <w:rFonts w:ascii="Times New Roman" w:eastAsia="Times New Roman" w:hAnsi="Times New Roman" w:cs="Times New Roman"/>
          <w:color w:val="1A1919"/>
          <w:kern w:val="0"/>
          <w:sz w:val="22"/>
          <w:szCs w:val="22"/>
          <w:lang w:val="es-419"/>
          <w14:ligatures w14:val="none"/>
        </w:rPr>
        <w:t xml:space="preserve"> (máx. 30 páginas), estructurado según las preguntas de investigación.</w:t>
      </w:r>
    </w:p>
    <w:p w14:paraId="0DD82F48" w14:textId="77777777" w:rsidR="005D2D2C" w:rsidRPr="00923440" w:rsidRDefault="005D2D2C" w:rsidP="005D2D2C">
      <w:p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Incorporación de:</w:t>
      </w:r>
    </w:p>
    <w:p w14:paraId="399AA05E" w14:textId="77777777" w:rsidR="005D2D2C" w:rsidRPr="00923440" w:rsidRDefault="005D2D2C">
      <w:pPr>
        <w:pStyle w:val="ListParagraph"/>
        <w:numPr>
          <w:ilvl w:val="0"/>
          <w:numId w:val="10"/>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ejemplos nacionales y subnacionales</w:t>
      </w:r>
    </w:p>
    <w:p w14:paraId="2E338270" w14:textId="7C070D5D" w:rsidR="00090BED" w:rsidRPr="00923440" w:rsidRDefault="005D2D2C">
      <w:pPr>
        <w:pStyle w:val="ListParagraph"/>
        <w:numPr>
          <w:ilvl w:val="0"/>
          <w:numId w:val="10"/>
        </w:numPr>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cuadros comparativos y tipologías de políticas/instrumentos</w:t>
      </w:r>
    </w:p>
    <w:p w14:paraId="73BA154D" w14:textId="53568F47" w:rsidR="00927B57" w:rsidRPr="00923440" w:rsidRDefault="00927B57" w:rsidP="00923440">
      <w:pPr>
        <w:jc w:val="both"/>
        <w:rPr>
          <w:rFonts w:ascii="Times New Roman" w:eastAsia="Times New Roman" w:hAnsi="Times New Roman" w:cs="Times New Roman"/>
          <w:b/>
          <w:bCs/>
          <w:color w:val="1A1919"/>
          <w:kern w:val="0"/>
          <w:sz w:val="22"/>
          <w:szCs w:val="22"/>
          <w:u w:val="single"/>
          <w:lang w:val="es-419"/>
          <w14:ligatures w14:val="none"/>
        </w:rPr>
      </w:pPr>
      <w:r w:rsidRPr="00923440">
        <w:rPr>
          <w:rFonts w:ascii="Times New Roman" w:eastAsia="Times New Roman" w:hAnsi="Times New Roman" w:cs="Times New Roman"/>
          <w:b/>
          <w:bCs/>
          <w:color w:val="1A1919"/>
          <w:kern w:val="0"/>
          <w:sz w:val="22"/>
          <w:szCs w:val="22"/>
          <w:u w:val="single"/>
          <w:lang w:val="es-419"/>
          <w14:ligatures w14:val="none"/>
        </w:rPr>
        <w:t>Etapa 6. Síntesis final</w:t>
      </w:r>
    </w:p>
    <w:p w14:paraId="101F30DD" w14:textId="1B8AC561" w:rsidR="00927B57" w:rsidRPr="00923440" w:rsidRDefault="00927B57" w:rsidP="00923440">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Revisión y ajustes por el equipo del curso, asegurando la incorporación de los temas emergentes identificados por la Unidad de ECC no reflejados aún en publicaciones (Santiago Lorenzo)</w:t>
      </w:r>
    </w:p>
    <w:p w14:paraId="0606946F" w14:textId="59B1DE4E" w:rsidR="00EF78CF" w:rsidRPr="00923440" w:rsidRDefault="00923440" w:rsidP="00923440">
      <w:pPr>
        <w:jc w:val="both"/>
        <w:rPr>
          <w:rFonts w:ascii="Times New Roman" w:eastAsia="Times New Roman" w:hAnsi="Times New Roman" w:cs="Times New Roman"/>
          <w:b/>
          <w:bCs/>
          <w:color w:val="1A1919"/>
          <w:kern w:val="0"/>
          <w:sz w:val="22"/>
          <w:szCs w:val="22"/>
          <w:lang w:val="es-419"/>
          <w14:ligatures w14:val="none"/>
        </w:rPr>
      </w:pPr>
      <w:r>
        <w:rPr>
          <w:rFonts w:ascii="Times New Roman" w:eastAsia="Times New Roman" w:hAnsi="Times New Roman" w:cs="Times New Roman"/>
          <w:b/>
          <w:bCs/>
          <w:color w:val="1A1919"/>
          <w:kern w:val="0"/>
          <w:sz w:val="22"/>
          <w:szCs w:val="22"/>
          <w:lang w:val="es-419"/>
          <w14:ligatures w14:val="none"/>
        </w:rPr>
        <w:t>8.</w:t>
      </w:r>
      <w:r w:rsidR="006811C8" w:rsidRPr="00923440">
        <w:rPr>
          <w:rFonts w:ascii="Times New Roman" w:eastAsia="Times New Roman" w:hAnsi="Times New Roman" w:cs="Times New Roman"/>
          <w:b/>
          <w:bCs/>
          <w:color w:val="1A1919"/>
          <w:kern w:val="0"/>
          <w:sz w:val="22"/>
          <w:szCs w:val="22"/>
          <w:lang w:val="es-419"/>
          <w14:ligatures w14:val="none"/>
        </w:rPr>
        <w:t>Contenidos del documento final</w:t>
      </w:r>
    </w:p>
    <w:p w14:paraId="520D9D13" w14:textId="0476E3C4" w:rsidR="00EF78CF" w:rsidRPr="00923440" w:rsidRDefault="006811C8" w:rsidP="00923440">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La síntesis del documento incluirá Estado de situación (qué está pasando), diagnóstico estructural (por qué sucede y qué lo explica), propuestas de la CEPAL, avances de los países, brechas persistentes, tendencias, desafíos, oportunidades</w:t>
      </w:r>
    </w:p>
    <w:p w14:paraId="43D823A9" w14:textId="77777777" w:rsidR="000B59BA" w:rsidRPr="00923440" w:rsidRDefault="000B59BA" w:rsidP="00923440">
      <w:pPr>
        <w:jc w:val="both"/>
        <w:rPr>
          <w:rFonts w:ascii="Times New Roman" w:eastAsia="Times New Roman" w:hAnsi="Times New Roman" w:cs="Times New Roman"/>
          <w:b/>
          <w:bCs/>
          <w:color w:val="1A1919"/>
          <w:kern w:val="0"/>
          <w:sz w:val="22"/>
          <w:szCs w:val="22"/>
          <w:lang w:val="es-419"/>
          <w14:ligatures w14:val="none"/>
        </w:rPr>
      </w:pPr>
      <w:r w:rsidRPr="00923440">
        <w:rPr>
          <w:rFonts w:ascii="Times New Roman" w:eastAsia="Times New Roman" w:hAnsi="Times New Roman" w:cs="Times New Roman"/>
          <w:b/>
          <w:bCs/>
          <w:color w:val="1A1919"/>
          <w:kern w:val="0"/>
          <w:sz w:val="22"/>
          <w:szCs w:val="22"/>
          <w:lang w:val="es-419"/>
          <w14:ligatures w14:val="none"/>
        </w:rPr>
        <w:t>9. Resultados esperados</w:t>
      </w:r>
    </w:p>
    <w:p w14:paraId="55DCEECC" w14:textId="77777777" w:rsidR="000B59BA" w:rsidRPr="00923440" w:rsidRDefault="000B59BA">
      <w:pPr>
        <w:numPr>
          <w:ilvl w:val="0"/>
          <w:numId w:val="2"/>
        </w:numPr>
        <w:tabs>
          <w:tab w:val="clear" w:pos="360"/>
          <w:tab w:val="num" w:pos="720"/>
        </w:tabs>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documento síntesis (≤ 30 páginas)</w:t>
      </w:r>
    </w:p>
    <w:p w14:paraId="17C1F13D" w14:textId="6208C38D" w:rsidR="000B59BA" w:rsidRPr="00923440" w:rsidRDefault="000B59BA">
      <w:pPr>
        <w:numPr>
          <w:ilvl w:val="0"/>
          <w:numId w:val="2"/>
        </w:numPr>
        <w:tabs>
          <w:tab w:val="clear" w:pos="360"/>
          <w:tab w:val="num" w:pos="720"/>
        </w:tabs>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listado validado de publicaciones</w:t>
      </w:r>
      <w:r w:rsidR="006811C8" w:rsidRPr="00923440">
        <w:rPr>
          <w:rFonts w:ascii="Times New Roman" w:eastAsia="Times New Roman" w:hAnsi="Times New Roman" w:cs="Times New Roman"/>
          <w:color w:val="1A1919"/>
          <w:kern w:val="0"/>
          <w:sz w:val="22"/>
          <w:szCs w:val="22"/>
          <w:lang w:val="es-419"/>
          <w14:ligatures w14:val="none"/>
        </w:rPr>
        <w:t xml:space="preserve"> (se incluirá como material de consulta en el curso)</w:t>
      </w:r>
    </w:p>
    <w:p w14:paraId="06505E92" w14:textId="77777777" w:rsidR="000B59BA" w:rsidRPr="00923440" w:rsidRDefault="000B59BA">
      <w:pPr>
        <w:numPr>
          <w:ilvl w:val="0"/>
          <w:numId w:val="2"/>
        </w:numPr>
        <w:tabs>
          <w:tab w:val="clear" w:pos="360"/>
          <w:tab w:val="num" w:pos="720"/>
        </w:tabs>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marco analítico para el curso</w:t>
      </w:r>
    </w:p>
    <w:p w14:paraId="5448BD5C" w14:textId="77777777" w:rsidR="000B59BA" w:rsidRPr="00923440" w:rsidRDefault="000B59BA">
      <w:pPr>
        <w:numPr>
          <w:ilvl w:val="0"/>
          <w:numId w:val="2"/>
        </w:numPr>
        <w:tabs>
          <w:tab w:val="clear" w:pos="360"/>
          <w:tab w:val="num" w:pos="720"/>
        </w:tabs>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t>insumos para ejercicios prácticos</w:t>
      </w:r>
    </w:p>
    <w:p w14:paraId="71532C88" w14:textId="44B42963" w:rsidR="008C5570" w:rsidRPr="00923440" w:rsidRDefault="008C5570" w:rsidP="00923440">
      <w:pPr>
        <w:jc w:val="both"/>
        <w:rPr>
          <w:rFonts w:ascii="Times New Roman" w:eastAsia="Times New Roman" w:hAnsi="Times New Roman" w:cs="Times New Roman"/>
          <w:color w:val="1A1919"/>
          <w:kern w:val="0"/>
          <w:sz w:val="22"/>
          <w:szCs w:val="22"/>
          <w:lang w:val="es-419"/>
          <w14:ligatures w14:val="none"/>
        </w:rPr>
      </w:pPr>
      <w:r w:rsidRPr="00923440">
        <w:rPr>
          <w:rFonts w:ascii="Times New Roman" w:eastAsia="Times New Roman" w:hAnsi="Times New Roman" w:cs="Times New Roman"/>
          <w:color w:val="1A1919"/>
          <w:kern w:val="0"/>
          <w:sz w:val="22"/>
          <w:szCs w:val="22"/>
          <w:lang w:val="es-419"/>
          <w14:ligatures w14:val="none"/>
        </w:rPr>
        <w:br w:type="page"/>
      </w:r>
    </w:p>
    <w:p w14:paraId="6D9249FF" w14:textId="77777777" w:rsidR="00CF6E9E" w:rsidRPr="00923440" w:rsidRDefault="00CF6E9E" w:rsidP="005C4523">
      <w:pPr>
        <w:spacing w:after="0" w:line="240" w:lineRule="auto"/>
        <w:jc w:val="center"/>
        <w:outlineLvl w:val="0"/>
        <w:rPr>
          <w:rFonts w:ascii="Times New Roman" w:eastAsia="Times New Roman" w:hAnsi="Times New Roman" w:cs="Times New Roman"/>
          <w:b/>
          <w:bCs/>
          <w:kern w:val="36"/>
          <w:sz w:val="22"/>
          <w:szCs w:val="22"/>
          <w:lang w:val="es-419"/>
          <w14:ligatures w14:val="none"/>
        </w:rPr>
      </w:pPr>
      <w:r w:rsidRPr="00923440">
        <w:rPr>
          <w:rFonts w:ascii="Times New Roman" w:eastAsia="Times New Roman" w:hAnsi="Times New Roman" w:cs="Times New Roman"/>
          <w:b/>
          <w:bCs/>
          <w:kern w:val="36"/>
          <w:sz w:val="22"/>
          <w:szCs w:val="22"/>
          <w:lang w:val="es-419"/>
          <w14:ligatures w14:val="none"/>
        </w:rPr>
        <w:lastRenderedPageBreak/>
        <w:t>Ficha técnica de la revisión de publicaciones CEPAL sobre cambio climático (2015–2025)</w:t>
      </w:r>
    </w:p>
    <w:p w14:paraId="28BB18F3" w14:textId="77777777" w:rsidR="005C4523" w:rsidRPr="00923440" w:rsidRDefault="005C4523" w:rsidP="005C4523">
      <w:pPr>
        <w:spacing w:after="0" w:line="240" w:lineRule="auto"/>
        <w:jc w:val="center"/>
        <w:outlineLvl w:val="0"/>
        <w:rPr>
          <w:rFonts w:ascii="Times New Roman" w:eastAsia="Times New Roman" w:hAnsi="Times New Roman" w:cs="Times New Roman"/>
          <w:b/>
          <w:bCs/>
          <w:kern w:val="36"/>
          <w:sz w:val="22"/>
          <w:szCs w:val="22"/>
          <w:lang w:val="es-419"/>
          <w14:ligatures w14:val="none"/>
        </w:rPr>
      </w:pPr>
    </w:p>
    <w:p w14:paraId="461679A6"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1. Objetivo</w:t>
      </w:r>
    </w:p>
    <w:p w14:paraId="4FDDBA5F"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6745A45A" w14:textId="2CB8FD64" w:rsidR="005C4523" w:rsidRPr="00923440" w:rsidRDefault="005C4523" w:rsidP="00F72737">
      <w:pPr>
        <w:spacing w:after="0" w:line="240" w:lineRule="auto"/>
        <w:jc w:val="both"/>
        <w:rPr>
          <w:rFonts w:ascii="Times New Roman" w:hAnsi="Times New Roman" w:cs="Times New Roman"/>
          <w:i/>
          <w:iCs/>
          <w:sz w:val="22"/>
          <w:szCs w:val="22"/>
          <w:lang w:val="es-419"/>
        </w:rPr>
      </w:pPr>
      <w:r w:rsidRPr="00923440">
        <w:rPr>
          <w:rFonts w:ascii="Times New Roman" w:hAnsi="Times New Roman" w:cs="Times New Roman"/>
          <w:sz w:val="22"/>
          <w:szCs w:val="22"/>
          <w:lang w:val="es-419"/>
        </w:rPr>
        <w:t xml:space="preserve">Desarrollar una revisión sistemática, analítica y orientada a la acción de la producción de la CEPAL sobre cambio climático (2015–2025), con el fin de identificar diagnósticos, propuestas, tendencias y brechas, analizar la evolución del pensamiento institucional y generar insumos para el curso </w:t>
      </w:r>
      <w:r w:rsidRPr="00923440">
        <w:rPr>
          <w:rFonts w:ascii="Times New Roman" w:hAnsi="Times New Roman" w:cs="Times New Roman"/>
          <w:i/>
          <w:iCs/>
          <w:sz w:val="22"/>
          <w:szCs w:val="22"/>
          <w:lang w:val="es-419"/>
        </w:rPr>
        <w:t>Innovar para la complejidad.</w:t>
      </w:r>
    </w:p>
    <w:p w14:paraId="278CEBA3" w14:textId="77777777" w:rsidR="005C4523" w:rsidRPr="00923440" w:rsidRDefault="005C4523" w:rsidP="00F72737">
      <w:pPr>
        <w:spacing w:after="0" w:line="240" w:lineRule="auto"/>
        <w:jc w:val="both"/>
        <w:rPr>
          <w:rFonts w:ascii="Times New Roman" w:hAnsi="Times New Roman" w:cs="Times New Roman"/>
          <w:i/>
          <w:iCs/>
          <w:sz w:val="22"/>
          <w:szCs w:val="22"/>
          <w:lang w:val="es-419"/>
        </w:rPr>
      </w:pPr>
    </w:p>
    <w:p w14:paraId="75BF02BC"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2. Fuente de información</w:t>
      </w:r>
    </w:p>
    <w:p w14:paraId="66F1D62F"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3BD8D1AB" w14:textId="64388276" w:rsidR="005C4523" w:rsidRPr="00923440" w:rsidRDefault="005C4523" w:rsidP="00F72737">
      <w:pPr>
        <w:spacing w:after="0" w:line="240" w:lineRule="auto"/>
        <w:jc w:val="both"/>
        <w:rPr>
          <w:rFonts w:ascii="Times New Roman" w:hAnsi="Times New Roman" w:cs="Times New Roman"/>
          <w:sz w:val="22"/>
          <w:szCs w:val="22"/>
          <w:lang w:val="es-419"/>
        </w:rPr>
      </w:pPr>
      <w:r w:rsidRPr="00923440">
        <w:rPr>
          <w:rFonts w:ascii="Times New Roman" w:hAnsi="Times New Roman" w:cs="Times New Roman"/>
          <w:sz w:val="22"/>
          <w:szCs w:val="22"/>
          <w:lang w:val="es-419"/>
        </w:rPr>
        <w:t>Repositorio institucional CEPAL (2015–2025) y base preprocesada por CEPAL Lab, incluyendo publicaciones sustantivas clasificadas, metadatos y documentos clave.</w:t>
      </w:r>
    </w:p>
    <w:p w14:paraId="73F4998F"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07F07234"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3. Metodología estructurada</w:t>
      </w:r>
    </w:p>
    <w:p w14:paraId="0CBE4415"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2E59E9A4" w14:textId="0A0C1640" w:rsidR="005C4523" w:rsidRPr="00923440" w:rsidRDefault="005C4523" w:rsidP="00F72737">
      <w:pPr>
        <w:spacing w:after="0" w:line="240" w:lineRule="auto"/>
        <w:jc w:val="both"/>
        <w:rPr>
          <w:rFonts w:ascii="Times New Roman" w:hAnsi="Times New Roman" w:cs="Times New Roman"/>
          <w:sz w:val="22"/>
          <w:szCs w:val="22"/>
          <w:lang w:val="es-419"/>
        </w:rPr>
      </w:pPr>
      <w:r w:rsidRPr="00923440">
        <w:rPr>
          <w:rFonts w:ascii="Times New Roman" w:hAnsi="Times New Roman" w:cs="Times New Roman"/>
          <w:sz w:val="22"/>
          <w:szCs w:val="22"/>
          <w:lang w:val="es-419"/>
        </w:rPr>
        <w:t>El proceso se organiza en seis etapas: (1) selección inicial (CEPAL Lab), (2) validación experta (equipo del curso), (3) procesamiento con IA, (4) análisis estructurado, (5) síntesis borrador y (6) síntesis final y validación.</w:t>
      </w:r>
    </w:p>
    <w:p w14:paraId="02A553B2"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4A650D9F"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4. Identificadores analíticos</w:t>
      </w:r>
    </w:p>
    <w:p w14:paraId="3DD98155"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21C86CD2" w14:textId="74DC2DE4" w:rsidR="005C4523" w:rsidRPr="00923440" w:rsidRDefault="005C4523" w:rsidP="00F72737">
      <w:pPr>
        <w:spacing w:after="0" w:line="240" w:lineRule="auto"/>
        <w:jc w:val="both"/>
        <w:rPr>
          <w:rFonts w:ascii="Times New Roman" w:hAnsi="Times New Roman" w:cs="Times New Roman"/>
          <w:sz w:val="22"/>
          <w:szCs w:val="22"/>
          <w:lang w:val="es-419"/>
        </w:rPr>
      </w:pPr>
      <w:r w:rsidRPr="00923440">
        <w:rPr>
          <w:rFonts w:ascii="Times New Roman" w:hAnsi="Times New Roman" w:cs="Times New Roman"/>
          <w:sz w:val="22"/>
          <w:szCs w:val="22"/>
          <w:lang w:val="es-419"/>
        </w:rPr>
        <w:t>Incluyen dimensiones (estado de situación, diagnóstico, propuestas, implementación), ejes sustantivos (mitigación, adaptación, financiamiento, gobernanza, innovación) y brechas del desarrollo.</w:t>
      </w:r>
    </w:p>
    <w:p w14:paraId="242B1AF7"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210388E3"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5. Productos esperados</w:t>
      </w:r>
    </w:p>
    <w:p w14:paraId="7CB65825"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1FA722B7" w14:textId="24B63259" w:rsidR="005C4523" w:rsidRPr="00923440" w:rsidRDefault="005C4523" w:rsidP="00F72737">
      <w:pPr>
        <w:spacing w:after="0" w:line="240" w:lineRule="auto"/>
        <w:jc w:val="both"/>
        <w:rPr>
          <w:rFonts w:ascii="Times New Roman" w:hAnsi="Times New Roman" w:cs="Times New Roman"/>
          <w:sz w:val="22"/>
          <w:szCs w:val="22"/>
          <w:lang w:val="es-419"/>
        </w:rPr>
      </w:pPr>
      <w:r w:rsidRPr="00923440">
        <w:rPr>
          <w:rFonts w:ascii="Times New Roman" w:hAnsi="Times New Roman" w:cs="Times New Roman"/>
          <w:sz w:val="22"/>
          <w:szCs w:val="22"/>
          <w:lang w:val="es-419"/>
        </w:rPr>
        <w:t>Documento síntesis (máx. 30 páginas), base validada de publicaciones, matrices analíticas e insumos para el curso.</w:t>
      </w:r>
    </w:p>
    <w:p w14:paraId="62FAAA72"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69EB8D6F"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6. Cronograma (mayo–junio 2026)</w:t>
      </w:r>
    </w:p>
    <w:p w14:paraId="064E336C"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0C9DDC0E" w14:textId="4569C8EE" w:rsidR="005C4523" w:rsidRPr="00923440" w:rsidRDefault="005C4523" w:rsidP="00F72737">
      <w:pPr>
        <w:spacing w:after="0" w:line="240" w:lineRule="auto"/>
        <w:jc w:val="both"/>
        <w:rPr>
          <w:rFonts w:ascii="Times New Roman" w:hAnsi="Times New Roman" w:cs="Times New Roman"/>
          <w:sz w:val="22"/>
          <w:szCs w:val="22"/>
          <w:lang w:val="es-419"/>
        </w:rPr>
      </w:pPr>
      <w:r w:rsidRPr="00923440">
        <w:rPr>
          <w:rFonts w:ascii="Times New Roman" w:hAnsi="Times New Roman" w:cs="Times New Roman"/>
          <w:sz w:val="22"/>
          <w:szCs w:val="22"/>
          <w:lang w:val="es-419"/>
        </w:rPr>
        <w:t>El trabajo se desarrollará entre mayo y junio de 2026, cubriendo seis etapas desde la selección inicial hasta la validación final.</w:t>
      </w:r>
    </w:p>
    <w:p w14:paraId="7A7E79F1" w14:textId="77777777" w:rsidR="005C4523" w:rsidRPr="00923440" w:rsidRDefault="005C4523" w:rsidP="00F72737">
      <w:pPr>
        <w:spacing w:after="0" w:line="240" w:lineRule="auto"/>
        <w:jc w:val="both"/>
        <w:rPr>
          <w:rFonts w:ascii="Times New Roman" w:hAnsi="Times New Roman" w:cs="Times New Roman"/>
          <w:sz w:val="22"/>
          <w:szCs w:val="22"/>
          <w:lang w:val="es-419"/>
        </w:rPr>
      </w:pPr>
    </w:p>
    <w:p w14:paraId="1F0FBAD0" w14:textId="77777777" w:rsidR="005C4523" w:rsidRPr="00923440" w:rsidRDefault="005C4523" w:rsidP="00F72737">
      <w:pPr>
        <w:pStyle w:val="Heading1"/>
        <w:spacing w:before="0" w:after="0" w:line="240" w:lineRule="auto"/>
        <w:jc w:val="both"/>
        <w:rPr>
          <w:rFonts w:ascii="Times New Roman" w:hAnsi="Times New Roman" w:cs="Times New Roman"/>
          <w:b/>
          <w:bCs/>
          <w:color w:val="auto"/>
          <w:sz w:val="22"/>
          <w:szCs w:val="22"/>
          <w:lang w:val="es-419"/>
        </w:rPr>
      </w:pPr>
      <w:r w:rsidRPr="00923440">
        <w:rPr>
          <w:rFonts w:ascii="Times New Roman" w:hAnsi="Times New Roman" w:cs="Times New Roman"/>
          <w:b/>
          <w:bCs/>
          <w:color w:val="auto"/>
          <w:sz w:val="22"/>
          <w:szCs w:val="22"/>
          <w:lang w:val="es-419"/>
        </w:rPr>
        <w:t>7. Roles, responsables y calendario</w:t>
      </w:r>
    </w:p>
    <w:p w14:paraId="17C96C3B" w14:textId="77777777" w:rsidR="005C4523" w:rsidRPr="00923440" w:rsidRDefault="005C4523" w:rsidP="005C4523">
      <w:pPr>
        <w:rPr>
          <w:lang w:val="es-4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785"/>
        <w:gridCol w:w="1535"/>
        <w:gridCol w:w="2160"/>
      </w:tblGrid>
      <w:tr w:rsidR="005C4523" w:rsidRPr="00923440" w14:paraId="284F6996" w14:textId="77777777" w:rsidTr="005C4523">
        <w:tc>
          <w:tcPr>
            <w:tcW w:w="2160" w:type="dxa"/>
          </w:tcPr>
          <w:p w14:paraId="397E7A1B" w14:textId="77777777" w:rsidR="005C4523" w:rsidRPr="00923440" w:rsidRDefault="005C4523" w:rsidP="005C4523">
            <w:pPr>
              <w:spacing w:after="0" w:line="240" w:lineRule="auto"/>
              <w:rPr>
                <w:rFonts w:ascii="Times New Roman" w:hAnsi="Times New Roman" w:cs="Times New Roman"/>
                <w:b/>
                <w:bCs/>
                <w:sz w:val="22"/>
                <w:szCs w:val="22"/>
                <w:lang w:val="es-419"/>
              </w:rPr>
            </w:pPr>
            <w:r w:rsidRPr="00923440">
              <w:rPr>
                <w:rFonts w:ascii="Times New Roman" w:hAnsi="Times New Roman" w:cs="Times New Roman"/>
                <w:b/>
                <w:bCs/>
                <w:sz w:val="22"/>
                <w:szCs w:val="22"/>
                <w:lang w:val="es-419"/>
              </w:rPr>
              <w:t>Etapa</w:t>
            </w:r>
          </w:p>
        </w:tc>
        <w:tc>
          <w:tcPr>
            <w:tcW w:w="2785" w:type="dxa"/>
          </w:tcPr>
          <w:p w14:paraId="441F2EA8" w14:textId="77777777" w:rsidR="005C4523" w:rsidRPr="00923440" w:rsidRDefault="005C4523" w:rsidP="005C4523">
            <w:pPr>
              <w:spacing w:after="0" w:line="240" w:lineRule="auto"/>
              <w:rPr>
                <w:rFonts w:ascii="Times New Roman" w:hAnsi="Times New Roman" w:cs="Times New Roman"/>
                <w:b/>
                <w:bCs/>
                <w:sz w:val="22"/>
                <w:szCs w:val="22"/>
                <w:lang w:val="es-419"/>
              </w:rPr>
            </w:pPr>
            <w:r w:rsidRPr="00923440">
              <w:rPr>
                <w:rFonts w:ascii="Times New Roman" w:hAnsi="Times New Roman" w:cs="Times New Roman"/>
                <w:b/>
                <w:bCs/>
                <w:sz w:val="22"/>
                <w:szCs w:val="22"/>
                <w:lang w:val="es-419"/>
              </w:rPr>
              <w:t>Responsable principal</w:t>
            </w:r>
          </w:p>
        </w:tc>
        <w:tc>
          <w:tcPr>
            <w:tcW w:w="1535" w:type="dxa"/>
          </w:tcPr>
          <w:p w14:paraId="7B4DBC7E" w14:textId="77777777" w:rsidR="005C4523" w:rsidRPr="00923440" w:rsidRDefault="005C4523" w:rsidP="005C4523">
            <w:pPr>
              <w:spacing w:after="0" w:line="240" w:lineRule="auto"/>
              <w:rPr>
                <w:rFonts w:ascii="Times New Roman" w:hAnsi="Times New Roman" w:cs="Times New Roman"/>
                <w:b/>
                <w:bCs/>
                <w:sz w:val="22"/>
                <w:szCs w:val="22"/>
                <w:lang w:val="es-419"/>
              </w:rPr>
            </w:pPr>
            <w:r w:rsidRPr="00923440">
              <w:rPr>
                <w:rFonts w:ascii="Times New Roman" w:hAnsi="Times New Roman" w:cs="Times New Roman"/>
                <w:b/>
                <w:bCs/>
                <w:sz w:val="22"/>
                <w:szCs w:val="22"/>
                <w:lang w:val="es-419"/>
              </w:rPr>
              <w:t>Apoyo</w:t>
            </w:r>
          </w:p>
        </w:tc>
        <w:tc>
          <w:tcPr>
            <w:tcW w:w="2160" w:type="dxa"/>
          </w:tcPr>
          <w:p w14:paraId="70452954" w14:textId="77777777" w:rsidR="005C4523" w:rsidRPr="00923440" w:rsidRDefault="005C4523" w:rsidP="005C4523">
            <w:pPr>
              <w:spacing w:after="0" w:line="240" w:lineRule="auto"/>
              <w:rPr>
                <w:rFonts w:ascii="Times New Roman" w:hAnsi="Times New Roman" w:cs="Times New Roman"/>
                <w:b/>
                <w:bCs/>
                <w:sz w:val="22"/>
                <w:szCs w:val="22"/>
                <w:lang w:val="es-419"/>
              </w:rPr>
            </w:pPr>
            <w:r w:rsidRPr="00923440">
              <w:rPr>
                <w:rFonts w:ascii="Times New Roman" w:hAnsi="Times New Roman" w:cs="Times New Roman"/>
                <w:b/>
                <w:bCs/>
                <w:sz w:val="22"/>
                <w:szCs w:val="22"/>
                <w:lang w:val="es-419"/>
              </w:rPr>
              <w:t>Fechas</w:t>
            </w:r>
          </w:p>
        </w:tc>
      </w:tr>
      <w:tr w:rsidR="005C4523" w:rsidRPr="00923440" w14:paraId="72D2365B" w14:textId="77777777" w:rsidTr="005C4523">
        <w:tc>
          <w:tcPr>
            <w:tcW w:w="2160" w:type="dxa"/>
          </w:tcPr>
          <w:p w14:paraId="099272E4"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Selección inicial</w:t>
            </w:r>
          </w:p>
        </w:tc>
        <w:tc>
          <w:tcPr>
            <w:tcW w:w="2785" w:type="dxa"/>
          </w:tcPr>
          <w:p w14:paraId="524E4EAC"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CEPAL Lab</w:t>
            </w:r>
          </w:p>
        </w:tc>
        <w:tc>
          <w:tcPr>
            <w:tcW w:w="1535" w:type="dxa"/>
          </w:tcPr>
          <w:p w14:paraId="212CFF04"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w:t>
            </w:r>
          </w:p>
        </w:tc>
        <w:tc>
          <w:tcPr>
            <w:tcW w:w="2160" w:type="dxa"/>
          </w:tcPr>
          <w:p w14:paraId="564010D2" w14:textId="187CFE25"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11–15 mayo</w:t>
            </w:r>
          </w:p>
        </w:tc>
      </w:tr>
      <w:tr w:rsidR="005C4523" w:rsidRPr="00923440" w14:paraId="6A3E5A4B" w14:textId="77777777" w:rsidTr="005C4523">
        <w:tc>
          <w:tcPr>
            <w:tcW w:w="2160" w:type="dxa"/>
          </w:tcPr>
          <w:p w14:paraId="057C3ABF"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Validación experta</w:t>
            </w:r>
          </w:p>
        </w:tc>
        <w:tc>
          <w:tcPr>
            <w:tcW w:w="2785" w:type="dxa"/>
          </w:tcPr>
          <w:p w14:paraId="09E66444"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Equipo del curso</w:t>
            </w:r>
          </w:p>
        </w:tc>
        <w:tc>
          <w:tcPr>
            <w:tcW w:w="1535" w:type="dxa"/>
          </w:tcPr>
          <w:p w14:paraId="66A144FD" w14:textId="6998C9D5"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w:t>
            </w:r>
          </w:p>
        </w:tc>
        <w:tc>
          <w:tcPr>
            <w:tcW w:w="2160" w:type="dxa"/>
          </w:tcPr>
          <w:p w14:paraId="53E09844" w14:textId="2031C4A4"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18–22 mayo</w:t>
            </w:r>
          </w:p>
        </w:tc>
      </w:tr>
      <w:tr w:rsidR="005C4523" w:rsidRPr="00923440" w14:paraId="7A8550F5" w14:textId="77777777" w:rsidTr="005C4523">
        <w:tc>
          <w:tcPr>
            <w:tcW w:w="2160" w:type="dxa"/>
          </w:tcPr>
          <w:p w14:paraId="751AD72B"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Procesamiento IA</w:t>
            </w:r>
          </w:p>
        </w:tc>
        <w:tc>
          <w:tcPr>
            <w:tcW w:w="2785" w:type="dxa"/>
          </w:tcPr>
          <w:p w14:paraId="21BD8A5A"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CEPAL Lab</w:t>
            </w:r>
          </w:p>
        </w:tc>
        <w:tc>
          <w:tcPr>
            <w:tcW w:w="1535" w:type="dxa"/>
          </w:tcPr>
          <w:p w14:paraId="7F7170BD" w14:textId="2583D981" w:rsidR="005C4523" w:rsidRPr="00923440" w:rsidRDefault="005C4523" w:rsidP="005C4523">
            <w:pPr>
              <w:spacing w:after="0" w:line="240" w:lineRule="auto"/>
              <w:rPr>
                <w:rFonts w:ascii="Times New Roman" w:hAnsi="Times New Roman" w:cs="Times New Roman"/>
                <w:sz w:val="22"/>
                <w:szCs w:val="22"/>
                <w:lang w:val="es-419"/>
              </w:rPr>
            </w:pPr>
          </w:p>
        </w:tc>
        <w:tc>
          <w:tcPr>
            <w:tcW w:w="2160" w:type="dxa"/>
          </w:tcPr>
          <w:p w14:paraId="3DFEFEE4" w14:textId="62AB0046"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25 mayo–5 junio</w:t>
            </w:r>
          </w:p>
        </w:tc>
      </w:tr>
      <w:tr w:rsidR="005C4523" w:rsidRPr="00923440" w14:paraId="20F83DDD" w14:textId="77777777" w:rsidTr="005C4523">
        <w:tc>
          <w:tcPr>
            <w:tcW w:w="2160" w:type="dxa"/>
          </w:tcPr>
          <w:p w14:paraId="677FC8ED"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Análisis estructurado</w:t>
            </w:r>
          </w:p>
        </w:tc>
        <w:tc>
          <w:tcPr>
            <w:tcW w:w="2785" w:type="dxa"/>
          </w:tcPr>
          <w:p w14:paraId="2C4C2B1A" w14:textId="773593F6"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CEPAL Lab</w:t>
            </w:r>
          </w:p>
        </w:tc>
        <w:tc>
          <w:tcPr>
            <w:tcW w:w="1535" w:type="dxa"/>
          </w:tcPr>
          <w:p w14:paraId="011E59B8" w14:textId="4AAA511C"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Equipo del curso</w:t>
            </w:r>
          </w:p>
        </w:tc>
        <w:tc>
          <w:tcPr>
            <w:tcW w:w="2160" w:type="dxa"/>
          </w:tcPr>
          <w:p w14:paraId="04649016" w14:textId="41C5D99B"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8–12 junio</w:t>
            </w:r>
          </w:p>
        </w:tc>
      </w:tr>
      <w:tr w:rsidR="005C4523" w:rsidRPr="00923440" w14:paraId="0AD9178C" w14:textId="77777777" w:rsidTr="005C4523">
        <w:tc>
          <w:tcPr>
            <w:tcW w:w="2160" w:type="dxa"/>
          </w:tcPr>
          <w:p w14:paraId="6E6A0A27"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Síntesis borrador</w:t>
            </w:r>
          </w:p>
        </w:tc>
        <w:tc>
          <w:tcPr>
            <w:tcW w:w="2785" w:type="dxa"/>
          </w:tcPr>
          <w:p w14:paraId="751463ED" w14:textId="615D100F"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CEPAL Lab</w:t>
            </w:r>
          </w:p>
        </w:tc>
        <w:tc>
          <w:tcPr>
            <w:tcW w:w="1535" w:type="dxa"/>
          </w:tcPr>
          <w:p w14:paraId="2A4A76F5"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w:t>
            </w:r>
          </w:p>
        </w:tc>
        <w:tc>
          <w:tcPr>
            <w:tcW w:w="2160" w:type="dxa"/>
          </w:tcPr>
          <w:p w14:paraId="05C25239" w14:textId="3A2F2524"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15–19 junio</w:t>
            </w:r>
          </w:p>
        </w:tc>
      </w:tr>
      <w:tr w:rsidR="005C4523" w:rsidRPr="00923440" w14:paraId="4320A056" w14:textId="77777777" w:rsidTr="005C4523">
        <w:tc>
          <w:tcPr>
            <w:tcW w:w="2160" w:type="dxa"/>
          </w:tcPr>
          <w:p w14:paraId="45690A3C"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Síntesis final</w:t>
            </w:r>
          </w:p>
        </w:tc>
        <w:tc>
          <w:tcPr>
            <w:tcW w:w="2785" w:type="dxa"/>
          </w:tcPr>
          <w:p w14:paraId="69BA785C"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Equipo del curso</w:t>
            </w:r>
          </w:p>
        </w:tc>
        <w:tc>
          <w:tcPr>
            <w:tcW w:w="1535" w:type="dxa"/>
          </w:tcPr>
          <w:p w14:paraId="31A85616" w14:textId="77777777"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CEPAL Lab</w:t>
            </w:r>
          </w:p>
        </w:tc>
        <w:tc>
          <w:tcPr>
            <w:tcW w:w="2160" w:type="dxa"/>
          </w:tcPr>
          <w:p w14:paraId="21FB5CB7" w14:textId="32E9A6D6" w:rsidR="005C4523" w:rsidRPr="00923440" w:rsidRDefault="005C4523" w:rsidP="005C4523">
            <w:pPr>
              <w:spacing w:after="0" w:line="240" w:lineRule="auto"/>
              <w:rPr>
                <w:rFonts w:ascii="Times New Roman" w:hAnsi="Times New Roman" w:cs="Times New Roman"/>
                <w:sz w:val="22"/>
                <w:szCs w:val="22"/>
                <w:lang w:val="es-419"/>
              </w:rPr>
            </w:pPr>
            <w:r w:rsidRPr="00923440">
              <w:rPr>
                <w:rFonts w:ascii="Times New Roman" w:hAnsi="Times New Roman" w:cs="Times New Roman"/>
                <w:sz w:val="22"/>
                <w:szCs w:val="22"/>
                <w:lang w:val="es-419"/>
              </w:rPr>
              <w:t>22–30 junio</w:t>
            </w:r>
          </w:p>
        </w:tc>
      </w:tr>
    </w:tbl>
    <w:p w14:paraId="55B3E480" w14:textId="77777777" w:rsidR="005C4523" w:rsidRPr="00923440" w:rsidRDefault="005C4523" w:rsidP="005C4523">
      <w:pPr>
        <w:spacing w:after="0" w:line="240" w:lineRule="auto"/>
        <w:rPr>
          <w:rFonts w:ascii="Times New Roman" w:hAnsi="Times New Roman" w:cs="Times New Roman"/>
          <w:sz w:val="22"/>
          <w:szCs w:val="22"/>
          <w:lang w:val="es-419"/>
        </w:rPr>
      </w:pPr>
    </w:p>
    <w:p w14:paraId="206B4590" w14:textId="77777777" w:rsidR="00CF6E9E" w:rsidRPr="00923440" w:rsidRDefault="00CF6E9E" w:rsidP="005C4523">
      <w:pPr>
        <w:spacing w:after="0" w:line="240" w:lineRule="auto"/>
        <w:outlineLvl w:val="1"/>
        <w:rPr>
          <w:rFonts w:ascii="Times New Roman" w:eastAsia="Times New Roman" w:hAnsi="Times New Roman" w:cs="Times New Roman"/>
          <w:b/>
          <w:bCs/>
          <w:kern w:val="0"/>
          <w:sz w:val="22"/>
          <w:szCs w:val="22"/>
          <w:lang w:val="es-419"/>
          <w14:ligatures w14:val="none"/>
        </w:rPr>
      </w:pPr>
      <w:r w:rsidRPr="00923440">
        <w:rPr>
          <w:rFonts w:ascii="Times New Roman" w:eastAsia="Times New Roman" w:hAnsi="Times New Roman" w:cs="Times New Roman"/>
          <w:b/>
          <w:bCs/>
          <w:kern w:val="0"/>
          <w:sz w:val="22"/>
          <w:szCs w:val="22"/>
          <w:lang w:val="es-419"/>
          <w14:ligatures w14:val="none"/>
        </w:rPr>
        <w:t>8. Observaciones metodológicas</w:t>
      </w:r>
    </w:p>
    <w:p w14:paraId="2BEB0D0D" w14:textId="77777777" w:rsidR="00F72737" w:rsidRPr="00923440" w:rsidRDefault="00F72737" w:rsidP="005C4523">
      <w:pPr>
        <w:spacing w:after="0" w:line="240" w:lineRule="auto"/>
        <w:outlineLvl w:val="1"/>
        <w:rPr>
          <w:rFonts w:ascii="Times New Roman" w:eastAsia="Times New Roman" w:hAnsi="Times New Roman" w:cs="Times New Roman"/>
          <w:b/>
          <w:bCs/>
          <w:kern w:val="0"/>
          <w:sz w:val="22"/>
          <w:szCs w:val="22"/>
          <w:lang w:val="es-419"/>
          <w14:ligatures w14:val="none"/>
        </w:rPr>
      </w:pPr>
    </w:p>
    <w:p w14:paraId="6165FC68" w14:textId="77777777" w:rsidR="00506CE2" w:rsidRPr="00923440" w:rsidRDefault="00506CE2">
      <w:pPr>
        <w:numPr>
          <w:ilvl w:val="0"/>
          <w:numId w:val="3"/>
        </w:numPr>
        <w:spacing w:after="0" w:line="240" w:lineRule="auto"/>
        <w:jc w:val="both"/>
        <w:rPr>
          <w:rFonts w:ascii="Times New Roman" w:eastAsia="Times New Roman" w:hAnsi="Times New Roman" w:cs="Times New Roman"/>
          <w:kern w:val="0"/>
          <w:sz w:val="22"/>
          <w:szCs w:val="22"/>
          <w:lang w:val="es-419"/>
          <w14:ligatures w14:val="none"/>
        </w:rPr>
      </w:pPr>
      <w:r w:rsidRPr="00923440">
        <w:rPr>
          <w:rFonts w:ascii="Times New Roman" w:eastAsia="Times New Roman" w:hAnsi="Times New Roman" w:cs="Times New Roman"/>
          <w:kern w:val="0"/>
          <w:sz w:val="22"/>
          <w:szCs w:val="22"/>
          <w:lang w:val="es-419"/>
          <w14:ligatures w14:val="none"/>
        </w:rPr>
        <w:lastRenderedPageBreak/>
        <w:t>El mapeo estratégico de publicaciones de la CEPAL, elaborado por CEPAL Lab, constituye un análisis exploratorio preliminar del conjunto de documentos sobre cambio climático. Por ello, requiere una validación sustantiva que permita identificar las publicaciones más relevantes y excluir aquellas que no se ajustan al objeto del estudio.</w:t>
      </w:r>
    </w:p>
    <w:p w14:paraId="209117B8" w14:textId="77777777" w:rsidR="00506CE2" w:rsidRPr="00923440" w:rsidRDefault="00506CE2">
      <w:pPr>
        <w:numPr>
          <w:ilvl w:val="0"/>
          <w:numId w:val="3"/>
        </w:numPr>
        <w:spacing w:after="0" w:line="240" w:lineRule="auto"/>
        <w:jc w:val="both"/>
        <w:rPr>
          <w:rFonts w:ascii="Times New Roman" w:eastAsia="Times New Roman" w:hAnsi="Times New Roman" w:cs="Times New Roman"/>
          <w:kern w:val="0"/>
          <w:sz w:val="22"/>
          <w:szCs w:val="22"/>
          <w:lang w:val="es-419"/>
          <w14:ligatures w14:val="none"/>
        </w:rPr>
      </w:pPr>
      <w:r w:rsidRPr="00923440">
        <w:rPr>
          <w:rFonts w:ascii="Times New Roman" w:eastAsia="Times New Roman" w:hAnsi="Times New Roman" w:cs="Times New Roman"/>
          <w:kern w:val="0"/>
          <w:sz w:val="22"/>
          <w:szCs w:val="22"/>
          <w:lang w:val="es-419"/>
          <w14:ligatures w14:val="none"/>
        </w:rPr>
        <w:t>El uso de inteligencia artificial complementa, pero no sustituye, el juicio experto, especialmente en la interpretación de contenidos y la selección final de evidencia.</w:t>
      </w:r>
    </w:p>
    <w:p w14:paraId="7879C5F5" w14:textId="7947C3EF" w:rsidR="00CF6E9E" w:rsidRPr="00923440" w:rsidRDefault="00506CE2">
      <w:pPr>
        <w:numPr>
          <w:ilvl w:val="0"/>
          <w:numId w:val="3"/>
        </w:numPr>
        <w:spacing w:after="0" w:line="240" w:lineRule="auto"/>
        <w:jc w:val="both"/>
        <w:rPr>
          <w:rFonts w:ascii="Times New Roman" w:eastAsia="Times New Roman" w:hAnsi="Times New Roman" w:cs="Times New Roman"/>
          <w:kern w:val="0"/>
          <w:sz w:val="22"/>
          <w:szCs w:val="22"/>
          <w:lang w:val="es-419"/>
          <w14:ligatures w14:val="none"/>
        </w:rPr>
      </w:pPr>
      <w:r w:rsidRPr="00923440">
        <w:rPr>
          <w:rFonts w:ascii="Times New Roman" w:eastAsia="Times New Roman" w:hAnsi="Times New Roman" w:cs="Times New Roman"/>
          <w:kern w:val="0"/>
          <w:sz w:val="22"/>
          <w:szCs w:val="22"/>
          <w:lang w:val="es-419"/>
          <w14:ligatures w14:val="none"/>
        </w:rPr>
        <w:t>El proceso metodológico debe mantenerse iterativo, integrando ciclos sucesivos de análisis, validación y ajuste, con el fin de asegurar la calidad y pertinencia de los resultados.</w:t>
      </w:r>
    </w:p>
    <w:sectPr w:rsidR="00CF6E9E" w:rsidRPr="0092344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6280" w14:textId="77777777" w:rsidR="00113645" w:rsidRDefault="00113645" w:rsidP="005A7E7B">
      <w:pPr>
        <w:spacing w:after="0" w:line="240" w:lineRule="auto"/>
      </w:pPr>
      <w:r>
        <w:separator/>
      </w:r>
    </w:p>
  </w:endnote>
  <w:endnote w:type="continuationSeparator" w:id="0">
    <w:p w14:paraId="3F61F06B" w14:textId="77777777" w:rsidR="00113645" w:rsidRDefault="00113645" w:rsidP="005A7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721834"/>
      <w:docPartObj>
        <w:docPartGallery w:val="Page Numbers (Bottom of Page)"/>
        <w:docPartUnique/>
      </w:docPartObj>
    </w:sdtPr>
    <w:sdtEndPr>
      <w:rPr>
        <w:noProof/>
      </w:rPr>
    </w:sdtEndPr>
    <w:sdtContent>
      <w:p w14:paraId="6C152E05" w14:textId="23CD771F" w:rsidR="00853DB4" w:rsidRDefault="00853D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BD25DB" w14:textId="77777777" w:rsidR="00853DB4" w:rsidRDefault="00853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B2C5" w14:textId="77777777" w:rsidR="00113645" w:rsidRDefault="00113645" w:rsidP="005A7E7B">
      <w:pPr>
        <w:spacing w:after="0" w:line="240" w:lineRule="auto"/>
      </w:pPr>
      <w:r>
        <w:separator/>
      </w:r>
    </w:p>
  </w:footnote>
  <w:footnote w:type="continuationSeparator" w:id="0">
    <w:p w14:paraId="3BAD9BD8" w14:textId="77777777" w:rsidR="00113645" w:rsidRDefault="00113645" w:rsidP="005A7E7B">
      <w:pPr>
        <w:spacing w:after="0" w:line="240" w:lineRule="auto"/>
      </w:pPr>
      <w:r>
        <w:continuationSeparator/>
      </w:r>
    </w:p>
  </w:footnote>
  <w:footnote w:id="1">
    <w:p w14:paraId="099AF519" w14:textId="2814C1F2" w:rsidR="00A77600" w:rsidRPr="00A77600" w:rsidRDefault="00A77600" w:rsidP="00923440">
      <w:pPr>
        <w:pStyle w:val="FootnoteText"/>
        <w:jc w:val="both"/>
        <w:rPr>
          <w:rFonts w:ascii="Times New Roman" w:hAnsi="Times New Roman" w:cs="Times New Roman"/>
          <w:sz w:val="18"/>
          <w:szCs w:val="18"/>
          <w:lang w:val="es-ES"/>
        </w:rPr>
      </w:pPr>
      <w:r w:rsidRPr="00A77600">
        <w:rPr>
          <w:rStyle w:val="FootnoteReference"/>
          <w:rFonts w:ascii="Times New Roman" w:hAnsi="Times New Roman" w:cs="Times New Roman"/>
          <w:sz w:val="18"/>
          <w:szCs w:val="18"/>
        </w:rPr>
        <w:footnoteRef/>
      </w:r>
      <w:r w:rsidRPr="00A77600">
        <w:rPr>
          <w:rFonts w:ascii="Times New Roman" w:hAnsi="Times New Roman" w:cs="Times New Roman"/>
          <w:sz w:val="18"/>
          <w:szCs w:val="18"/>
          <w:lang w:val="es-ES"/>
        </w:rPr>
        <w:t xml:space="preserve"> Comisión Económica para América Latina y el Caribe. (2024). América Latina y el Caribe ante las trampas del desarrollo: transformaciones indispensables y cómo gestionarlas (LC/SES.40/3-P-*).</w:t>
      </w:r>
    </w:p>
  </w:footnote>
  <w:footnote w:id="2">
    <w:p w14:paraId="2880991F" w14:textId="77777777" w:rsidR="005B316C" w:rsidRPr="005B316C" w:rsidRDefault="005B316C" w:rsidP="005B316C">
      <w:pPr>
        <w:spacing w:after="0" w:line="240" w:lineRule="auto"/>
        <w:jc w:val="both"/>
        <w:rPr>
          <w:rFonts w:ascii="Times New Roman" w:eastAsia="Times New Roman" w:hAnsi="Times New Roman" w:cs="Times New Roman"/>
          <w:color w:val="1A1919"/>
          <w:kern w:val="0"/>
          <w:sz w:val="18"/>
          <w:szCs w:val="18"/>
          <w:lang w:val="es-ES"/>
          <w14:ligatures w14:val="none"/>
        </w:rPr>
      </w:pPr>
      <w:r w:rsidRPr="005B316C">
        <w:rPr>
          <w:rFonts w:ascii="Times New Roman" w:hAnsi="Times New Roman" w:cs="Times New Roman"/>
          <w:sz w:val="18"/>
          <w:szCs w:val="18"/>
          <w:vertAlign w:val="superscript"/>
          <w:lang w:val="es-ES"/>
        </w:rPr>
        <w:footnoteRef/>
      </w:r>
      <w:r w:rsidRPr="005B316C">
        <w:rPr>
          <w:rFonts w:ascii="Times New Roman" w:hAnsi="Times New Roman" w:cs="Times New Roman"/>
          <w:sz w:val="18"/>
          <w:szCs w:val="18"/>
          <w:vertAlign w:val="superscript"/>
          <w:lang w:val="es-ES"/>
        </w:rPr>
        <w:t xml:space="preserve"> </w:t>
      </w:r>
      <w:r w:rsidRPr="005B316C">
        <w:rPr>
          <w:rFonts w:ascii="Times New Roman" w:hAnsi="Times New Roman" w:cs="Times New Roman"/>
          <w:sz w:val="18"/>
          <w:szCs w:val="18"/>
          <w:lang w:val="es-ES"/>
        </w:rPr>
        <w:t>El cambio climático es la variación en el estado del clima causada tanto por procesos naturales internos del sistema climático, forzamientos externos (como erupciones volcánicas o cambios en la radiación solar) o bien como resultado de actividades humanas que alteran la composición de la atmósfera a través de la quema de combustibles fósiles, pérdida de bosques y otras actividades generadas por sectores como la industria, la agricultura y el transporte, entre</w:t>
      </w:r>
      <w:r w:rsidRPr="005B316C">
        <w:rPr>
          <w:rFonts w:ascii="Times New Roman" w:eastAsia="Times New Roman" w:hAnsi="Times New Roman" w:cs="Times New Roman"/>
          <w:color w:val="1A1919"/>
          <w:kern w:val="0"/>
          <w:sz w:val="18"/>
          <w:szCs w:val="18"/>
          <w:lang w:val="es-ES"/>
          <w14:ligatures w14:val="none"/>
        </w:rPr>
        <w:t xml:space="preserve"> otros. Este proceso deriva en una mayor retención de calor del sol en la atmósfera conocido como efecto invernadero.</w:t>
      </w:r>
    </w:p>
    <w:p w14:paraId="1B31A2AD" w14:textId="687F0C62" w:rsidR="005B316C" w:rsidRPr="005B316C" w:rsidRDefault="005B316C">
      <w:pPr>
        <w:pStyle w:val="FootnoteText"/>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7963" w14:textId="619B3B3B" w:rsidR="005A7E7B" w:rsidRPr="00FA3933" w:rsidRDefault="005A7E7B" w:rsidP="005A7E7B">
    <w:pPr>
      <w:pStyle w:val="Header"/>
      <w:jc w:val="right"/>
      <w:rPr>
        <w:rFonts w:ascii="Times New Roman" w:hAnsi="Times New Roman" w:cs="Times New Roman"/>
        <w:i/>
        <w:iCs/>
        <w:sz w:val="20"/>
        <w:szCs w:val="20"/>
        <w:lang w:val="es-ES"/>
      </w:rPr>
    </w:pPr>
    <w:r w:rsidRPr="00FA3933">
      <w:rPr>
        <w:rFonts w:ascii="Times New Roman" w:hAnsi="Times New Roman" w:cs="Times New Roman"/>
        <w:i/>
        <w:iCs/>
        <w:sz w:val="20"/>
        <w:szCs w:val="20"/>
        <w:lang w:val="es-ES"/>
      </w:rPr>
      <w:t xml:space="preserve">Nota elaborada por ILPES/Unidad de </w:t>
    </w:r>
    <w:r w:rsidR="00FA3933" w:rsidRPr="00FA3933">
      <w:rPr>
        <w:rFonts w:ascii="Times New Roman" w:hAnsi="Times New Roman" w:cs="Times New Roman"/>
        <w:i/>
        <w:iCs/>
        <w:sz w:val="20"/>
        <w:szCs w:val="20"/>
        <w:lang w:val="es-ES"/>
      </w:rPr>
      <w:t>Economía del Cambio Cl</w:t>
    </w:r>
    <w:r w:rsidR="00FA3933">
      <w:rPr>
        <w:rFonts w:ascii="Times New Roman" w:hAnsi="Times New Roman" w:cs="Times New Roman"/>
        <w:i/>
        <w:iCs/>
        <w:sz w:val="20"/>
        <w:szCs w:val="20"/>
        <w:lang w:val="es-ES"/>
      </w:rPr>
      <w:t xml:space="preserve">imático </w:t>
    </w:r>
    <w:r w:rsidRPr="00FA3933">
      <w:rPr>
        <w:rFonts w:ascii="Times New Roman" w:hAnsi="Times New Roman" w:cs="Times New Roman"/>
        <w:i/>
        <w:iCs/>
        <w:sz w:val="20"/>
        <w:szCs w:val="20"/>
        <w:lang w:val="es-ES"/>
      </w:rPr>
      <w:t>DDSAH</w:t>
    </w:r>
    <w:r w:rsidR="00414FFC">
      <w:rPr>
        <w:rFonts w:ascii="Times New Roman" w:hAnsi="Times New Roman" w:cs="Times New Roman"/>
        <w:i/>
        <w:iCs/>
        <w:sz w:val="20"/>
        <w:szCs w:val="20"/>
        <w:lang w:val="es-ES"/>
      </w:rPr>
      <w:t xml:space="preserve"> / </w:t>
    </w:r>
    <w:r w:rsidR="00923440">
      <w:rPr>
        <w:rFonts w:ascii="Times New Roman" w:hAnsi="Times New Roman" w:cs="Times New Roman"/>
        <w:i/>
        <w:iCs/>
        <w:sz w:val="20"/>
        <w:szCs w:val="20"/>
        <w:lang w:val="es-ES"/>
      </w:rPr>
      <w:t>7</w:t>
    </w:r>
    <w:r w:rsidR="00414FFC">
      <w:rPr>
        <w:rFonts w:ascii="Times New Roman" w:hAnsi="Times New Roman" w:cs="Times New Roman"/>
        <w:i/>
        <w:iCs/>
        <w:sz w:val="20"/>
        <w:szCs w:val="20"/>
        <w:lang w:val="es-ES"/>
      </w:rPr>
      <w:t xml:space="preserve"> de mayo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DCB"/>
    <w:multiLevelType w:val="hybridMultilevel"/>
    <w:tmpl w:val="C6F05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492DAE"/>
    <w:multiLevelType w:val="hybridMultilevel"/>
    <w:tmpl w:val="6C5A2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1227E6"/>
    <w:multiLevelType w:val="multilevel"/>
    <w:tmpl w:val="D70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82FF5"/>
    <w:multiLevelType w:val="hybridMultilevel"/>
    <w:tmpl w:val="3E5A70D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38D04E1"/>
    <w:multiLevelType w:val="multilevel"/>
    <w:tmpl w:val="E2BA9EDC"/>
    <w:lvl w:ilvl="0">
      <w:start w:val="1"/>
      <w:numFmt w:val="lowerRoman"/>
      <w:lvlText w:val="%1)"/>
      <w:lvlJc w:val="left"/>
      <w:pPr>
        <w:tabs>
          <w:tab w:val="num" w:pos="360"/>
        </w:tabs>
        <w:ind w:left="360" w:hanging="360"/>
      </w:pPr>
      <w:rPr>
        <w:rFonts w:ascii="Times New Roman" w:eastAsia="Times New Roman" w:hAnsi="Times New Roman" w:cs="Times New Roman"/>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8"/>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4AA0BA5"/>
    <w:multiLevelType w:val="hybridMultilevel"/>
    <w:tmpl w:val="E4841A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6B5496"/>
    <w:multiLevelType w:val="multilevel"/>
    <w:tmpl w:val="688C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E5801"/>
    <w:multiLevelType w:val="multilevel"/>
    <w:tmpl w:val="C8AA9B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BDD214C"/>
    <w:multiLevelType w:val="multilevel"/>
    <w:tmpl w:val="2FD42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D8E1070"/>
    <w:multiLevelType w:val="hybridMultilevel"/>
    <w:tmpl w:val="960A7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82408192">
    <w:abstractNumId w:val="8"/>
  </w:num>
  <w:num w:numId="2" w16cid:durableId="1858352437">
    <w:abstractNumId w:val="7"/>
  </w:num>
  <w:num w:numId="3" w16cid:durableId="755633485">
    <w:abstractNumId w:val="6"/>
  </w:num>
  <w:num w:numId="4" w16cid:durableId="185169978">
    <w:abstractNumId w:val="3"/>
  </w:num>
  <w:num w:numId="5" w16cid:durableId="1066418330">
    <w:abstractNumId w:val="4"/>
  </w:num>
  <w:num w:numId="6" w16cid:durableId="589773280">
    <w:abstractNumId w:val="2"/>
  </w:num>
  <w:num w:numId="7" w16cid:durableId="1837839799">
    <w:abstractNumId w:val="9"/>
  </w:num>
  <w:num w:numId="8" w16cid:durableId="272250223">
    <w:abstractNumId w:val="1"/>
  </w:num>
  <w:num w:numId="9" w16cid:durableId="2058896527">
    <w:abstractNumId w:val="5"/>
  </w:num>
  <w:num w:numId="10" w16cid:durableId="97113580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87"/>
    <w:rsid w:val="00011E0D"/>
    <w:rsid w:val="00077F68"/>
    <w:rsid w:val="00090BED"/>
    <w:rsid w:val="000B59BA"/>
    <w:rsid w:val="00113645"/>
    <w:rsid w:val="00191526"/>
    <w:rsid w:val="001939C5"/>
    <w:rsid w:val="002067A2"/>
    <w:rsid w:val="00253138"/>
    <w:rsid w:val="002818F0"/>
    <w:rsid w:val="002D269C"/>
    <w:rsid w:val="00350E83"/>
    <w:rsid w:val="004014BC"/>
    <w:rsid w:val="00414FFC"/>
    <w:rsid w:val="0042314D"/>
    <w:rsid w:val="004F05C6"/>
    <w:rsid w:val="004F6CC6"/>
    <w:rsid w:val="00506CE2"/>
    <w:rsid w:val="00594D87"/>
    <w:rsid w:val="005A7E7B"/>
    <w:rsid w:val="005B316C"/>
    <w:rsid w:val="005C4523"/>
    <w:rsid w:val="005D2D2C"/>
    <w:rsid w:val="006811C8"/>
    <w:rsid w:val="006E7586"/>
    <w:rsid w:val="00733009"/>
    <w:rsid w:val="00847AB3"/>
    <w:rsid w:val="00853DB4"/>
    <w:rsid w:val="008645C7"/>
    <w:rsid w:val="008C5570"/>
    <w:rsid w:val="008E3950"/>
    <w:rsid w:val="00913D07"/>
    <w:rsid w:val="00923440"/>
    <w:rsid w:val="00927B57"/>
    <w:rsid w:val="00991187"/>
    <w:rsid w:val="009E606C"/>
    <w:rsid w:val="00A7490D"/>
    <w:rsid w:val="00A77600"/>
    <w:rsid w:val="00AD0C14"/>
    <w:rsid w:val="00B14F83"/>
    <w:rsid w:val="00B22C23"/>
    <w:rsid w:val="00B85C41"/>
    <w:rsid w:val="00BC7C3C"/>
    <w:rsid w:val="00C41FA6"/>
    <w:rsid w:val="00C54E44"/>
    <w:rsid w:val="00CE5E21"/>
    <w:rsid w:val="00CF6E9E"/>
    <w:rsid w:val="00DD3264"/>
    <w:rsid w:val="00DD5474"/>
    <w:rsid w:val="00EE2BD3"/>
    <w:rsid w:val="00EF78CF"/>
    <w:rsid w:val="00F72737"/>
    <w:rsid w:val="00F97A56"/>
    <w:rsid w:val="00FA3933"/>
    <w:rsid w:val="00FF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9807"/>
  <w15:chartTrackingRefBased/>
  <w15:docId w15:val="{705D5465-82C7-422A-B4A5-CD417EE7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187"/>
    <w:rPr>
      <w:rFonts w:eastAsiaTheme="majorEastAsia" w:cstheme="majorBidi"/>
      <w:color w:val="272727" w:themeColor="text1" w:themeTint="D8"/>
    </w:rPr>
  </w:style>
  <w:style w:type="paragraph" w:styleId="Title">
    <w:name w:val="Title"/>
    <w:basedOn w:val="Normal"/>
    <w:next w:val="Normal"/>
    <w:link w:val="TitleChar"/>
    <w:uiPriority w:val="10"/>
    <w:qFormat/>
    <w:rsid w:val="00991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187"/>
    <w:pPr>
      <w:spacing w:before="160"/>
      <w:jc w:val="center"/>
    </w:pPr>
    <w:rPr>
      <w:i/>
      <w:iCs/>
      <w:color w:val="404040" w:themeColor="text1" w:themeTint="BF"/>
    </w:rPr>
  </w:style>
  <w:style w:type="character" w:customStyle="1" w:styleId="QuoteChar">
    <w:name w:val="Quote Char"/>
    <w:basedOn w:val="DefaultParagraphFont"/>
    <w:link w:val="Quote"/>
    <w:uiPriority w:val="29"/>
    <w:rsid w:val="00991187"/>
    <w:rPr>
      <w:i/>
      <w:iCs/>
      <w:color w:val="404040" w:themeColor="text1" w:themeTint="BF"/>
    </w:rPr>
  </w:style>
  <w:style w:type="paragraph" w:styleId="ListParagraph">
    <w:name w:val="List Paragraph"/>
    <w:basedOn w:val="Normal"/>
    <w:uiPriority w:val="34"/>
    <w:qFormat/>
    <w:rsid w:val="00991187"/>
    <w:pPr>
      <w:ind w:left="720"/>
      <w:contextualSpacing/>
    </w:pPr>
  </w:style>
  <w:style w:type="character" w:styleId="IntenseEmphasis">
    <w:name w:val="Intense Emphasis"/>
    <w:basedOn w:val="DefaultParagraphFont"/>
    <w:uiPriority w:val="21"/>
    <w:qFormat/>
    <w:rsid w:val="00991187"/>
    <w:rPr>
      <w:i/>
      <w:iCs/>
      <w:color w:val="0F4761" w:themeColor="accent1" w:themeShade="BF"/>
    </w:rPr>
  </w:style>
  <w:style w:type="paragraph" w:styleId="IntenseQuote">
    <w:name w:val="Intense Quote"/>
    <w:basedOn w:val="Normal"/>
    <w:next w:val="Normal"/>
    <w:link w:val="IntenseQuoteChar"/>
    <w:uiPriority w:val="30"/>
    <w:qFormat/>
    <w:rsid w:val="00991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187"/>
    <w:rPr>
      <w:i/>
      <w:iCs/>
      <w:color w:val="0F4761" w:themeColor="accent1" w:themeShade="BF"/>
    </w:rPr>
  </w:style>
  <w:style w:type="character" w:styleId="IntenseReference">
    <w:name w:val="Intense Reference"/>
    <w:basedOn w:val="DefaultParagraphFont"/>
    <w:uiPriority w:val="32"/>
    <w:qFormat/>
    <w:rsid w:val="00991187"/>
    <w:rPr>
      <w:b/>
      <w:bCs/>
      <w:smallCaps/>
      <w:color w:val="0F4761" w:themeColor="accent1" w:themeShade="BF"/>
      <w:spacing w:val="5"/>
    </w:rPr>
  </w:style>
  <w:style w:type="character" w:styleId="Hyperlink">
    <w:name w:val="Hyperlink"/>
    <w:basedOn w:val="DefaultParagraphFont"/>
    <w:uiPriority w:val="99"/>
    <w:unhideWhenUsed/>
    <w:rsid w:val="00991187"/>
    <w:rPr>
      <w:color w:val="467886" w:themeColor="hyperlink"/>
      <w:u w:val="single"/>
    </w:rPr>
  </w:style>
  <w:style w:type="character" w:styleId="UnresolvedMention">
    <w:name w:val="Unresolved Mention"/>
    <w:basedOn w:val="DefaultParagraphFont"/>
    <w:uiPriority w:val="99"/>
    <w:semiHidden/>
    <w:unhideWhenUsed/>
    <w:rsid w:val="00991187"/>
    <w:rPr>
      <w:color w:val="605E5C"/>
      <w:shd w:val="clear" w:color="auto" w:fill="E1DFDD"/>
    </w:rPr>
  </w:style>
  <w:style w:type="paragraph" w:styleId="Header">
    <w:name w:val="header"/>
    <w:basedOn w:val="Normal"/>
    <w:link w:val="HeaderChar"/>
    <w:uiPriority w:val="99"/>
    <w:unhideWhenUsed/>
    <w:rsid w:val="005A7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E7B"/>
  </w:style>
  <w:style w:type="paragraph" w:styleId="Footer">
    <w:name w:val="footer"/>
    <w:basedOn w:val="Normal"/>
    <w:link w:val="FooterChar"/>
    <w:uiPriority w:val="99"/>
    <w:unhideWhenUsed/>
    <w:rsid w:val="005A7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E7B"/>
  </w:style>
  <w:style w:type="paragraph" w:styleId="FootnoteText">
    <w:name w:val="footnote text"/>
    <w:basedOn w:val="Normal"/>
    <w:link w:val="FootnoteTextChar"/>
    <w:uiPriority w:val="99"/>
    <w:semiHidden/>
    <w:unhideWhenUsed/>
    <w:rsid w:val="00A776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7600"/>
    <w:rPr>
      <w:sz w:val="20"/>
      <w:szCs w:val="20"/>
    </w:rPr>
  </w:style>
  <w:style w:type="character" w:styleId="FootnoteReference">
    <w:name w:val="footnote reference"/>
    <w:basedOn w:val="DefaultParagraphFont"/>
    <w:uiPriority w:val="99"/>
    <w:semiHidden/>
    <w:unhideWhenUsed/>
    <w:rsid w:val="00A77600"/>
    <w:rPr>
      <w:vertAlign w:val="superscript"/>
    </w:rPr>
  </w:style>
  <w:style w:type="character" w:styleId="Strong">
    <w:name w:val="Strong"/>
    <w:basedOn w:val="DefaultParagraphFont"/>
    <w:uiPriority w:val="22"/>
    <w:qFormat/>
    <w:rsid w:val="009E606C"/>
    <w:rPr>
      <w:b/>
      <w:bCs/>
    </w:rPr>
  </w:style>
  <w:style w:type="paragraph" w:styleId="Revision">
    <w:name w:val="Revision"/>
    <w:hidden/>
    <w:uiPriority w:val="99"/>
    <w:semiHidden/>
    <w:rsid w:val="006E75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ednations-my.sharepoint.com/personal/valeria_torres_un_org/Documents/Microsoft%20Copilot%20Chat%20Files/Nota%2011_Sostenibilidad%20y%20cambio%20clim%C3%A1tico.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39C87-B185-4641-AEE3-114BD2635F46}">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9</Pages>
  <Words>2742</Words>
  <Characters>15632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Torres Larranaga</dc:creator>
  <cp:keywords/>
  <dc:description/>
  <cp:lastModifiedBy>Valeria Torres Larranaga</cp:lastModifiedBy>
  <cp:revision>5</cp:revision>
  <dcterms:created xsi:type="dcterms:W3CDTF">2026-05-07T20:14:00Z</dcterms:created>
  <dcterms:modified xsi:type="dcterms:W3CDTF">2026-05-07T20:34:00Z</dcterms:modified>
</cp:coreProperties>
</file>