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8783f0c0264f63a1715562851757248bd8e312"/>
    <w:p>
      <w:pPr>
        <w:pStyle w:val="Heading1"/>
      </w:pPr>
      <w:r>
        <w:t xml:space="preserve">Anexo 1 — Ficha completa del documento 9 (piloto)</w:t>
      </w:r>
    </w:p>
    <w:p>
      <w:pPr>
        <w:pStyle w:val="FirstParagraph"/>
      </w:pPr>
      <w:r>
        <w:rPr>
          <w:b/>
          <w:bCs/>
          <w:i/>
          <w:iCs/>
        </w:rPr>
        <w:t xml:space="preserve">Building a climate resilient power sector in the context of the Caribbean small island developing States' energy transition. Policy Brief</w:t>
      </w:r>
      <w:r>
        <w:t xml:space="preserve"> </w:t>
      </w:r>
      <w:r>
        <w:t xml:space="preserve">—</w:t>
      </w:r>
      <w:r>
        <w:t xml:space="preserve"> </w:t>
      </w:r>
      <w:hyperlink r:id="rId9">
        <w:r>
          <w:rPr>
            <w:rStyle w:val="Hyperlink"/>
          </w:rPr>
          <w:t xml:space="preserve">https://hdl.handle.net/11362/48603</w:t>
        </w:r>
      </w:hyperlink>
    </w:p>
    <w:p>
      <w:pPr>
        <w:pStyle w:val="BlockText"/>
      </w:pPr>
      <w:r>
        <w:t xml:space="preserve">Esta ficha es la versión legible del resultado completo que produjo la metodología sobre este documento. Todo lo que aparece fue extraído del PDF; cada cita textual lleva su número de página (la numeración impresa en el documento) para que pueda verificarse.</w:t>
      </w:r>
    </w:p>
    <w:bookmarkStart w:id="10" w:name="X7f92fd641c9f971d6c17164be3596576b8f0847"/>
    <w:p>
      <w:pPr>
        <w:pStyle w:val="Heading2"/>
      </w:pPr>
      <w:r>
        <w:t xml:space="preserve">1. Datos del documento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 en la muestra de calibración</w:t>
            </w:r>
          </w:p>
        </w:tc>
        <w:tc>
          <w:tcPr/>
          <w:p>
            <w:pPr>
              <w:pStyle w:val="Compact"/>
            </w:pPr>
            <w:r>
              <w:t xml:space="preserve">9</w:t>
            </w:r>
          </w:p>
        </w:tc>
      </w:tr>
      <w:tr>
        <w:tc>
          <w:tcPr/>
          <w:p>
            <w:pPr>
              <w:pStyle w:val="Compact"/>
            </w:pPr>
            <w:r>
              <w:t xml:space="preserve">Título</w:t>
            </w:r>
          </w:p>
        </w:tc>
        <w:tc>
          <w:tcPr/>
          <w:p>
            <w:pPr>
              <w:pStyle w:val="Compact"/>
            </w:pPr>
            <w:r>
              <w:t xml:space="preserve">Building a climate resilient power sector in the context of the Caribbean small island developing States' energy transition. Policy Brief</w:t>
            </w:r>
          </w:p>
        </w:tc>
      </w:tr>
      <w:tr>
        <w:tc>
          <w:tcPr/>
          <w:p>
            <w:pPr>
              <w:pStyle w:val="Compact"/>
            </w:pPr>
            <w:r>
              <w:t xml:space="preserve">Autoría</w:t>
            </w:r>
          </w:p>
        </w:tc>
        <w:tc>
          <w:tcPr/>
          <w:p>
            <w:pPr>
              <w:pStyle w:val="Compact"/>
            </w:pPr>
            <w:r>
              <w:t xml:space="preserve">Institucional (sin autoría personal)</w:t>
            </w:r>
          </w:p>
        </w:tc>
      </w:tr>
      <w:tr>
        <w:tc>
          <w:tcPr/>
          <w:p>
            <w:pPr>
              <w:pStyle w:val="Compact"/>
            </w:pPr>
            <w:r>
              <w:t xml:space="preserve">Handle</w:t>
            </w:r>
          </w:p>
        </w:tc>
        <w:tc>
          <w:tcPr/>
          <w:p>
            <w:pPr>
              <w:pStyle w:val="Compact"/>
            </w:pPr>
            <w:hyperlink r:id="rId9">
              <w:r>
                <w:rPr>
                  <w:rStyle w:val="Hyperlink"/>
                </w:rPr>
                <w:t xml:space="preserve">https://hdl.handle.net/11362/48603</w:t>
              </w:r>
            </w:hyperlink>
          </w:p>
        </w:tc>
      </w:tr>
      <w:tr>
        <w:tc>
          <w:tcPr/>
          <w:p>
            <w:pPr>
              <w:pStyle w:val="Compact"/>
            </w:pPr>
            <w:r>
              <w:t xml:space="preserve">Símbolo</w:t>
            </w:r>
          </w:p>
        </w:tc>
        <w:tc>
          <w:tcPr/>
          <w:p>
            <w:pPr>
              <w:pStyle w:val="Compact"/>
            </w:pPr>
            <w:r>
              <w:t xml:space="preserve">LC/CAR/2022/6</w:t>
            </w:r>
          </w:p>
        </w:tc>
      </w:tr>
      <w:tr>
        <w:tc>
          <w:tcPr/>
          <w:p>
            <w:pPr>
              <w:pStyle w:val="Compact"/>
            </w:pPr>
            <w:r>
              <w:t xml:space="preserve">Fecha</w:t>
            </w:r>
          </w:p>
        </w:tc>
        <w:tc>
          <w:tcPr/>
          <w:p>
            <w:pPr>
              <w:pStyle w:val="Compact"/>
            </w:pPr>
            <w:r>
              <w:t xml:space="preserve">15 de diciembre de 2022</w:t>
            </w:r>
          </w:p>
        </w:tc>
      </w:tr>
      <w:tr>
        <w:tc>
          <w:tcPr/>
          <w:p>
            <w:pPr>
              <w:pStyle w:val="Compact"/>
            </w:pPr>
            <w:r>
              <w:t xml:space="preserve">Tipo de documento</w:t>
            </w:r>
          </w:p>
        </w:tc>
        <w:tc>
          <w:tcPr/>
          <w:p>
            <w:pPr>
              <w:pStyle w:val="Compact"/>
            </w:pPr>
            <w:r>
              <w:t xml:space="preserve">Policy Brief</w:t>
            </w:r>
          </w:p>
        </w:tc>
      </w:tr>
      <w:tr>
        <w:tc>
          <w:tcPr/>
          <w:p>
            <w:pPr>
              <w:pStyle w:val="Compact"/>
            </w:pPr>
            <w:r>
              <w:t xml:space="preserve">Páginas de cuerpo / totales</w:t>
            </w:r>
          </w:p>
        </w:tc>
        <w:tc>
          <w:tcPr/>
          <w:p>
            <w:pPr>
              <w:pStyle w:val="Compact"/>
            </w:pPr>
            <w:r>
              <w:t xml:space="preserve">10 / 12</w:t>
            </w:r>
          </w:p>
        </w:tc>
      </w:tr>
      <w:tr>
        <w:tc>
          <w:tcPr/>
          <w:p>
            <w:pPr>
              <w:pStyle w:val="Compact"/>
            </w:pPr>
            <w:r>
              <w:t xml:space="preserve">Idioma</w:t>
            </w:r>
          </w:p>
        </w:tc>
        <w:tc>
          <w:tcPr/>
          <w:p>
            <w:pPr>
              <w:pStyle w:val="Compact"/>
            </w:pPr>
            <w:r>
              <w:t xml:space="preserve">Inglés</w:t>
            </w:r>
          </w:p>
        </w:tc>
      </w:tr>
      <w:tr>
        <w:tc>
          <w:tcPr/>
          <w:p>
            <w:pPr>
              <w:pStyle w:val="Compact"/>
            </w:pPr>
            <w:r>
              <w:t xml:space="preserve">¿Tiene resumen ejecutivo?</w:t>
            </w:r>
          </w:p>
        </w:tc>
        <w:tc>
          <w:tcPr/>
          <w:p>
            <w:pPr>
              <w:pStyle w:val="Compact"/>
            </w:pPr>
            <w:r>
              <w:t xml:space="preserve">No</w:t>
            </w:r>
          </w:p>
        </w:tc>
      </w:tr>
    </w:tbl>
    <w:bookmarkEnd w:id="10"/>
    <w:bookmarkStart w:id="11" w:name="Xdc76b7a10bc6755d97f74d23ab361d848622649"/>
    <w:p>
      <w:pPr>
        <w:pStyle w:val="Heading2"/>
      </w:pPr>
      <w:r>
        <w:t xml:space="preserve">2. Resumen enriquecido</w:t>
      </w:r>
    </w:p>
    <w:p>
      <w:pPr>
        <w:pStyle w:val="FirstParagraph"/>
      </w:pPr>
      <w:r>
        <w:rPr>
          <w:b/>
          <w:bCs/>
        </w:rPr>
        <w:t xml:space="preserve">Pregunta de investigación que responde el documento:</w:t>
      </w:r>
      <w:r>
        <w:t xml:space="preserve"> </w:t>
      </w:r>
      <w:r>
        <w:t xml:space="preserve">¿Cómo pueden los pequeños Estados insulares en desarrollo (SIDS) del Caribe incorporar la resiliencia climática en la planificación de su sector eléctrico, en el contexto de su transición hacia energías renovables?</w:t>
      </w:r>
    </w:p>
    <w:p>
      <w:pPr>
        <w:pStyle w:val="BodyText"/>
      </w:pPr>
      <w:r>
        <w:rPr>
          <w:b/>
          <w:bCs/>
        </w:rPr>
        <w:t xml:space="preserve">Alcance: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Plano</w:t>
            </w:r>
          </w:p>
        </w:tc>
        <w:tc>
          <w:tcPr/>
          <w:p>
            <w:pPr>
              <w:pStyle w:val="Compact"/>
            </w:pPr>
            <w:r>
              <w:t xml:space="preserve">Detalle</w:t>
            </w:r>
          </w:p>
        </w:tc>
      </w:tr>
      <w:tr>
        <w:tc>
          <w:tcPr/>
          <w:p>
            <w:pPr>
              <w:pStyle w:val="Compact"/>
            </w:pPr>
            <w:r>
              <w:t xml:space="preserve">Ámbito de aplicación</w:t>
            </w:r>
          </w:p>
        </w:tc>
        <w:tc>
          <w:tcPr/>
          <w:p>
            <w:pPr>
              <w:pStyle w:val="Compact"/>
            </w:pPr>
            <w:r>
              <w:t xml:space="preserve">Pequeños Estados insulares en desarrollo (SIDS) del Caribe, con CARICOM como marco institucional; no cubre América Latina continental</w:t>
            </w:r>
          </w:p>
        </w:tc>
      </w:tr>
      <w:tr>
        <w:tc>
          <w:tcPr/>
          <w:p>
            <w:pPr>
              <w:pStyle w:val="Compact"/>
            </w:pPr>
            <w:r>
              <w:t xml:space="preserve">Referentes o dependencias</w:t>
            </w:r>
          </w:p>
        </w:tc>
        <w:tc>
          <w:tcPr/>
          <w:p>
            <w:pPr>
              <w:pStyle w:val="Compact"/>
            </w:pPr>
            <w:r>
              <w:t xml:space="preserve">Estados Unidos (comparación de tarifas eléctricas; NREL y Rocky Mountain Institute como fuentes de marcos técnicos); Puerto Rico como caso ilustrativo de colapso de red; IEA, IRENA y Banco Mundial como fuentes de datos y metodologías</w:t>
            </w:r>
          </w:p>
        </w:tc>
      </w:tr>
      <w:tr>
        <w:tc>
          <w:tcPr/>
          <w:p>
            <w:pPr>
              <w:pStyle w:val="Compact"/>
            </w:pPr>
            <w:r>
              <w:t xml:space="preserve">Sectorial</w:t>
            </w:r>
          </w:p>
        </w:tc>
        <w:tc>
          <w:tcPr/>
          <w:p>
            <w:pPr>
              <w:pStyle w:val="Compact"/>
            </w:pPr>
            <w:r>
              <w:t xml:space="preserve">Sector eléctrico (generación, transmisión y distribución, demanda) exclusivamente</w:t>
            </w:r>
          </w:p>
        </w:tc>
      </w:tr>
      <w:tr>
        <w:tc>
          <w:tcPr/>
          <w:p>
            <w:pPr>
              <w:pStyle w:val="Compact"/>
            </w:pPr>
            <w:r>
              <w:t xml:space="preserve">Temporal</w:t>
            </w:r>
          </w:p>
        </w:tc>
        <w:tc>
          <w:tcPr/>
          <w:p>
            <w:pPr>
              <w:pStyle w:val="Compact"/>
            </w:pPr>
            <w:r>
              <w:t xml:space="preserve">Prospectivo, con eventos de referencia 2017 (huracanes Irma y María) y 2022 (huracán Fiona), datos de capacidad instalada de 2021 y proyecciones de demanda de refrigeración hasta 2050</w:t>
            </w:r>
          </w:p>
        </w:tc>
      </w:tr>
    </w:tbl>
    <w:p>
      <w:pPr>
        <w:pStyle w:val="BodyText"/>
      </w:pPr>
      <w:r>
        <w:rPr>
          <w:b/>
          <w:bCs/>
        </w:rPr>
        <w:t xml:space="preserve">Hallazgos principales:</w:t>
      </w:r>
    </w:p>
    <w:p>
      <w:pPr>
        <w:pStyle w:val="Compact"/>
        <w:numPr>
          <w:ilvl w:val="0"/>
          <w:numId w:val="1001"/>
        </w:numPr>
      </w:pPr>
      <w:r>
        <w:t xml:space="preserve">Los combustibles fósiles representan el 79,5% de la capacidad instalada de generación eléctrica en el Caribe (2021), con tarifas promedio de US$0,33/kWh, el triple del promedio de Estados Unidos (p.2).</w:t>
      </w:r>
    </w:p>
    <w:p>
      <w:pPr>
        <w:pStyle w:val="Compact"/>
        <w:numPr>
          <w:ilvl w:val="0"/>
          <w:numId w:val="1001"/>
        </w:numPr>
      </w:pPr>
      <w:r>
        <w:t xml:space="preserve">Las renovables solo alcanzan el 18,7% de la capacidad instalada pese a que casi todos los SIDS del Caribe tienen metas de energía renovable, incluidas seis metas de 100% para 2030 (p.2).</w:t>
      </w:r>
    </w:p>
    <w:p>
      <w:pPr>
        <w:pStyle w:val="Compact"/>
        <w:numPr>
          <w:ilvl w:val="0"/>
          <w:numId w:val="1001"/>
        </w:numPr>
      </w:pPr>
      <w:r>
        <w:t xml:space="preserve">Un aumento de 1°C de temperatura global reduce entre 0,45% y 0,8% la eficiencia de generación de las plantas térmicas y cerca de 0,5% la de los módulos solares fotovoltaicos, y elevará la demanda de refrigeración un 25% adicional hasta 2050 (p.3-4).</w:t>
      </w:r>
    </w:p>
    <w:p>
      <w:pPr>
        <w:pStyle w:val="Compact"/>
        <w:numPr>
          <w:ilvl w:val="0"/>
          <w:numId w:val="1001"/>
        </w:numPr>
      </w:pPr>
      <w:r>
        <w:t xml:space="preserve">El huracán María (2017) dejó al 90% de la población de Dominica sin electricidad por más de cuatro meses y a Puerto Rico sin red eléctrica por 11 meses (p.1).</w:t>
      </w:r>
    </w:p>
    <w:p>
      <w:pPr>
        <w:pStyle w:val="Compact"/>
        <w:numPr>
          <w:ilvl w:val="0"/>
          <w:numId w:val="1001"/>
        </w:numPr>
      </w:pPr>
      <w:r>
        <w:t xml:space="preserve">Reforzar sistemas solares fotovoltaicos para resistir huracanes categoría 5 encarece los costos de ingeniería, adquisición y construcción solo entre 5% y 5,5% frente al estándar de categoría 3 (p.9).</w:t>
      </w:r>
    </w:p>
    <w:p>
      <w:pPr>
        <w:pStyle w:val="FirstParagraph"/>
      </w:pPr>
      <w:r>
        <w:rPr>
          <w:b/>
          <w:bCs/>
        </w:rPr>
        <w:t xml:space="preserve">Conclusiones y recomendaciones del documento:</w:t>
      </w:r>
    </w:p>
    <w:p>
      <w:pPr>
        <w:pStyle w:val="Compact"/>
        <w:numPr>
          <w:ilvl w:val="0"/>
          <w:numId w:val="1002"/>
        </w:numPr>
      </w:pPr>
      <w:r>
        <w:t xml:space="preserve">Adoptar el Integrated Resource and Resilience Plan (IRRP) —avalado por los Estados miembros de CARICOM— como mecanismo preferido para incorporar análisis multirriesgo en la planificación eléctrica tradicional, pasando de un "plan de menor costo" a un "plan de menor arrepentimiento".</w:t>
      </w:r>
    </w:p>
    <w:p>
      <w:pPr>
        <w:pStyle w:val="Compact"/>
        <w:numPr>
          <w:ilvl w:val="0"/>
          <w:numId w:val="1002"/>
        </w:numPr>
      </w:pPr>
      <w:r>
        <w:t xml:space="preserve">Ocho recomendaciones de política enumeradas explícitamente (p.9-10): mantenimiento rutinario de la infraestructura, incorporación de la resiliencia climática a la planificación, mapeo de infraestructura crítica, fortalecimiento de capacidades estadísticas, enfoque multiactor, aceleración de renovables con actualización de metas vencidas, incorporación de resiliencia en estándares y códigos de construcción, y actualización de marcos regulatorios para atraer inversión privada.</w:t>
      </w:r>
    </w:p>
    <w:p>
      <w:pPr>
        <w:pStyle w:val="FirstParagraph"/>
      </w:pPr>
      <w:r>
        <w:rPr>
          <w:b/>
          <w:bCs/>
        </w:rPr>
        <w:t xml:space="preserve">Resumen narrativo:</w:t>
      </w:r>
      <w:r>
        <w:t xml:space="preserve"> </w:t>
      </w:r>
      <w:r>
        <w:t xml:space="preserve">Este policy brief de 12 páginas aborda la resiliencia climática del sector eléctrico en los pequeños Estados insulares del Caribe (CARICOM), partiendo de dos colapsos de red concretos: Dominica tras el huracán María (2017, más de cuatro meses sin electricidad para el 90% de la población) y Puerto Rico tras María (11 meses) y Fiona (2022). Su aporte central es el Integrated Resource and Resilience Plan (IRRP), un mecanismo de planificación ya avalado por CARICOM y en desarrollo en cinco países (Belice, Guyana, Jamaica, Saint Kitts y Nevis, Trinidad y Tabago) con apoyo técnico del CCREEE, que reemplaza el tradicional "plan de menor costo" por un "plan de menor arrepentimiento" basado en análisis multirriesgo. De las ocho recomendaciones de política que cierran el documento, seis tienen acción específica identificable (mapeo de infraestructura crítica, actualización de códigos de construcción, aceleración de metas renovables vencidas, entre otras), mientras que dos permanecen en el plano de principio general ("mainstreaming" de resiliencia, enfoque multiactor). El documento no aborda en ningún pasaje empleo, productividad o desigualdad: su alcance es estrictamente técnico-sectorial (electricidad), no macroeconómico ni distributivo.</w:t>
      </w:r>
    </w:p>
    <w:bookmarkEnd w:id="11"/>
    <w:bookmarkStart w:id="17" w:name="X01380f1835e9aeb038bfc11c7ae26b1275c7cb0"/>
    <w:p>
      <w:pPr>
        <w:pStyle w:val="Heading2"/>
      </w:pPr>
      <w:r>
        <w:t xml:space="preserve">3. Resumen por secciones y dimensiones (nivel: apartado)</w:t>
      </w:r>
    </w:p>
    <w:p>
      <w:pPr>
        <w:pStyle w:val="FirstParagraph"/>
      </w:pPr>
      <w:r>
        <w:t xml:space="preserve">El documento tiene 5 apartados, todos de primer nivel (es un policy brief corto, sin subsecciones numeradas).</w:t>
      </w:r>
    </w:p>
    <w:bookmarkStart w:id="12" w:name="X974876f2bc321f05955302b1d7d1640ba0571dc"/>
    <w:p>
      <w:pPr>
        <w:pStyle w:val="Heading3"/>
      </w:pPr>
      <w:r>
        <w:t xml:space="preserve">3.1 Introduction / Background (páginas 1-3)</w:t>
      </w:r>
    </w:p>
    <w:p>
      <w:pPr>
        <w:pStyle w:val="FirstParagraph"/>
      </w:pPr>
      <w:r>
        <w:t xml:space="preserve">Abre el documento motivando el problema con dos colapsos de red concretos —el huracán María (2017) dejó al 90% de la población de Dominica sin electricidad por más de cuatro meses y a Puerto Rico sin red por 11 meses; Fiona (2022) repitió apagones de semanas— y define la resiliencia del sector eléctrico como la capacidad de anticipar, resistir y recuperarse de disrupciones. El diagnóstico identifica las características estructurales que agravan la vulnerabilidad: operación por una única empresa eléctrica nacional, generación centralizada, dependencia de fósiles importados (79,5% de la capacidad instalada en 2021, con solo 18,7% de renovables) y tarifas de US$0,33/kWh, el triple del promedio de Estados Unidos. Registra la transición en curso —casi todos los SIDS tienen metas renovables; seis países (Antigua y Barbuda, Barbados, Dominica, Granada, Guyana y Saint Kitts y Nevis) comprometieron 100% para 2030, mientras Trinidad y Tabago y San Vicente y las Granadinas mantienen metas vencidas sin actualizar— impulsada por el costo de los fósiles importados, el abaratamiento de las tecnologías renovables y los compromisos internacionales de reducción de emisiones. Cierra señalando que esa transición está reestructurando el sector: del monopolio de una sola empresa hacia un sistema descentralizado con productores independientes y autogeneración, que requiere reguladores más robustos y un rango más amplio de actores en la planificación.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Estado de situación</w:t>
            </w:r>
          </w:p>
        </w:tc>
        <w:tc>
          <w:tcPr/>
          <w:p>
            <w:pPr>
              <w:pStyle w:val="Compact"/>
            </w:pPr>
            <w:r>
              <w:t xml:space="preserve">"plants fuelled by oil and natural gas represented the highest share of electricity installed capacity in the subregion in 2021, with renewables accounting for just 18.7 per cent"</w:t>
            </w:r>
          </w:p>
        </w:tc>
        <w:tc>
          <w:tcPr/>
          <w:p>
            <w:pPr>
              <w:pStyle w:val="Compact"/>
            </w:pPr>
            <w:r>
              <w:t xml:space="preserve">2</w:t>
            </w:r>
          </w:p>
        </w:tc>
      </w:tr>
      <w:tr>
        <w:tc>
          <w:tcPr/>
          <w:p>
            <w:pPr>
              <w:pStyle w:val="Compact"/>
            </w:pPr>
            <w:r>
              <w:t xml:space="preserve">Diagnóstico estructural</w:t>
            </w:r>
          </w:p>
        </w:tc>
        <w:tc>
          <w:tcPr/>
          <w:p>
            <w:pPr>
              <w:pStyle w:val="Compact"/>
            </w:pPr>
            <w:r>
              <w:t xml:space="preserve">"Current characteristics of the energy sector in Caribbean SIDS expose and increase their vulnerabilities to disasters. Some of these are: national power sectors operated by a single utility, centralized generation, high reliance on fossil fuels, low transmission and distribution efficiency, and high electricity tariffs"</w:t>
            </w:r>
          </w:p>
        </w:tc>
        <w:tc>
          <w:tcPr/>
          <w:p>
            <w:pPr>
              <w:pStyle w:val="Compact"/>
            </w:pPr>
            <w:r>
              <w:t xml:space="preserve">2</w:t>
            </w:r>
          </w:p>
        </w:tc>
      </w:tr>
      <w:tr>
        <w:tc>
          <w:tcPr/>
          <w:p>
            <w:pPr>
              <w:pStyle w:val="Compact"/>
            </w:pPr>
            <w:r>
              <w:t xml:space="preserve">Tendencias</w:t>
            </w:r>
          </w:p>
        </w:tc>
        <w:tc>
          <w:tcPr/>
          <w:p>
            <w:pPr>
              <w:pStyle w:val="Compact"/>
            </w:pPr>
            <w:r>
              <w:t xml:space="preserve">"In the past seven years, the increased use of solar photovoltaics (PV) and wind power has been driving up the share of renewable sources in the Caribbean energy mix"</w:t>
            </w:r>
          </w:p>
        </w:tc>
        <w:tc>
          <w:tcPr/>
          <w:p>
            <w:pPr>
              <w:pStyle w:val="Compact"/>
            </w:pPr>
            <w:r>
              <w:t xml:space="preserve">2</w:t>
            </w:r>
          </w:p>
        </w:tc>
      </w:tr>
      <w:tr>
        <w:tc>
          <w:tcPr/>
          <w:p>
            <w:pPr>
              <w:pStyle w:val="Compact"/>
            </w:pPr>
            <w:r>
              <w:t xml:space="preserve">Brechas de implementación (retrospectiva)</w:t>
            </w:r>
          </w:p>
        </w:tc>
        <w:tc>
          <w:tcPr/>
          <w:p>
            <w:pPr>
              <w:pStyle w:val="Compact"/>
            </w:pPr>
            <w:r>
              <w:t xml:space="preserve">"Targets set by Trinidad and Tobago and Saint Vincent and the Grenadines have expired in 2021 and 2020 respectively and have not yet been updated"</w:t>
            </w:r>
          </w:p>
        </w:tc>
        <w:tc>
          <w:tcPr/>
          <w:p>
            <w:pPr>
              <w:pStyle w:val="Compact"/>
            </w:pPr>
            <w:r>
              <w:t xml:space="preserve">2</w:t>
            </w:r>
          </w:p>
        </w:tc>
      </w:tr>
    </w:tbl>
    <w:bookmarkEnd w:id="12"/>
    <w:bookmarkStart w:id="13" w:name="X7246ec23fadfcbb55f9aec1d9eff0e0ddaaabb5"/>
    <w:p>
      <w:pPr>
        <w:pStyle w:val="Heading3"/>
      </w:pPr>
      <w:r>
        <w:t xml:space="preserve">3.2 Multi-hazard risks to Caribbean small island developing States' power sector (páginas 3-5)</w:t>
      </w:r>
    </w:p>
    <w:p>
      <w:pPr>
        <w:pStyle w:val="FirstParagraph"/>
      </w:pPr>
      <w:r>
        <w:t xml:space="preserve">Construye la base analítica del brief: una tipología de amenazas al sistema eléctrico (Diagrama 1: naturales —con los huracanes como riesgo dominante y eventos de inicio lento como el aumento sostenido de temperaturas y el nivel del mar—, tecnológicas y humanas) que pueden ocurrir simultáneamente y componerse entre sí. Cuantifica los impactos de los cambios graduales: cada 1°C de aumento de temperatura global reduce entre 0,45% y 0,8% la eficiencia de las plantas térmicas y cerca de 0,5% la de los módulos fotovoltaicos, y elevará la demanda de refrigeración un 25% adicional hasta 2050 (IEA/IRENA). Argumenta que la exposición depende del mix nacional —Belice, con 28% de capacidad hidroeléctrica, es sensible a sequías y cambios de precipitación; Antigua y Barbuda, con 83% fósil, a la pérdida de eficiencia térmica— y del estado de conservación de la infraestructura: un índice de confiabilidad construido con firmas del sector turístico ubica a República Dominicana, Antigua y Barbuda y Sint Maarten como los peores desempeños. La Tabla 1 sistematiza los cruces entre tendencias climáticas (temperatura del aire y del agua, precipitación, nivel del mar, eventos extremos) y los tres dominios de la cadena de valor eléctrica: generación, transmisión y distribución, y demanda.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Estado de situación</w:t>
            </w:r>
          </w:p>
        </w:tc>
        <w:tc>
          <w:tcPr/>
          <w:p>
            <w:pPr>
              <w:pStyle w:val="Compact"/>
            </w:pPr>
            <w:r>
              <w:t xml:space="preserve">"The efficiency of PV modules can also drop by about 0.5 per cent for every 1°C increase in temperature"</w:t>
            </w:r>
          </w:p>
        </w:tc>
        <w:tc>
          <w:tcPr/>
          <w:p>
            <w:pPr>
              <w:pStyle w:val="Compact"/>
            </w:pPr>
            <w:r>
              <w:t xml:space="preserve">3</w:t>
            </w:r>
          </w:p>
        </w:tc>
      </w:tr>
      <w:tr>
        <w:tc>
          <w:tcPr/>
          <w:p>
            <w:pPr>
              <w:pStyle w:val="Compact"/>
            </w:pPr>
            <w:r>
              <w:t xml:space="preserve">Diagnóstico estructural</w:t>
            </w:r>
          </w:p>
        </w:tc>
        <w:tc>
          <w:tcPr/>
          <w:p>
            <w:pPr>
              <w:pStyle w:val="Compact"/>
            </w:pPr>
            <w:r>
              <w:t xml:space="preserve">"An unreliable power provision can indicate existing problems related to infrastructure inadequacy, aging, and poor maintenance, affecting the power sector's resilience to climate events"</w:t>
            </w:r>
          </w:p>
        </w:tc>
        <w:tc>
          <w:tcPr/>
          <w:p>
            <w:pPr>
              <w:pStyle w:val="Compact"/>
            </w:pPr>
            <w:r>
              <w:t xml:space="preserve">4</w:t>
            </w:r>
          </w:p>
        </w:tc>
      </w:tr>
      <w:tr>
        <w:tc>
          <w:tcPr/>
          <w:p>
            <w:pPr>
              <w:pStyle w:val="Compact"/>
            </w:pPr>
            <w:r>
              <w:t xml:space="preserve">Desafíos</w:t>
            </w:r>
          </w:p>
        </w:tc>
        <w:tc>
          <w:tcPr/>
          <w:p>
            <w:pPr>
              <w:pStyle w:val="Compact"/>
            </w:pPr>
            <w:r>
              <w:t xml:space="preserve">"Countries with different energy generation mixes can be under very different levels of risk exposure under the same climate conditions"</w:t>
            </w:r>
          </w:p>
        </w:tc>
        <w:tc>
          <w:tcPr/>
          <w:p>
            <w:pPr>
              <w:pStyle w:val="Compact"/>
            </w:pPr>
            <w:r>
              <w:t xml:space="preserve">4</w:t>
            </w:r>
          </w:p>
        </w:tc>
      </w:tr>
    </w:tbl>
    <w:bookmarkEnd w:id="13"/>
    <w:bookmarkStart w:id="14" w:name="X5e57ebe5b2b1d52a58fe68a6198921e3cbd128b"/>
    <w:p>
      <w:pPr>
        <w:pStyle w:val="Heading3"/>
      </w:pPr>
      <w:r>
        <w:t xml:space="preserve">3.3 Incorporating resilience requirements into power sector planning (páginas 6-7)</w:t>
      </w:r>
    </w:p>
    <w:p>
      <w:pPr>
        <w:pStyle w:val="FirstParagraph"/>
      </w:pPr>
      <w:r>
        <w:t xml:space="preserve">Es la sección propositiva central: plantea evolucionar del plan integrado de recursos tradicional —orientado a producir un "plan de menor costo"— hacia el Integrated Resource and Resilience Plan (IRRP), que incorpora análisis multirriesgo para producir un "plan de menor arrepentimiento", y documenta su tracción institucional: los Estados miembros de CARICOM lo avalaron como mecanismo preferido de planificación eléctrica y cinco países (Belice, Guyana, Jamaica, Saint Kitts y Nevis, Trinidad y Tabago) ya desarrollan IRRPs con el Programa de Resiliencia Climática del CCREEE, que además fortalece capacidades de modelización de sistemas en gobiernos y empresas eléctricas. El Diagrama 2 despliega el ciclo de ocho pasos del proceso (involucrar actores, recolectar datos de energía y riesgo, evaluar riesgos multiamenaza, construir métricas y escenarios, identificar medidas de menor arrepentimiento, actualizar planes y políticas, evaluar efectividad, reconstruir mejor). El resto de la sección argumenta que el cuello de botella es la calidad y disponibilidad de los datos —normativos y técnico-sectoriales, más datos de amenazas climáticas y vulnerabilidades—, lo que exige integrar a autoridades ambientales, oficinas meteorológicas, agencias nacionales de emergencia y planificadores urbanos, y recurrir a plataformas de datos abiertos, aprendizaje automático y datos geoespaciales (con el NREL como referente técnico) cuando faltan conjuntos de datos críticos.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Propuestas de política</w:t>
            </w:r>
          </w:p>
        </w:tc>
        <w:tc>
          <w:tcPr/>
          <w:p>
            <w:pPr>
              <w:pStyle w:val="Compact"/>
            </w:pPr>
            <w:r>
              <w:t xml:space="preserve">"CARICOM member States endorsed the IRRP as a preferred mechanism to guide planning in the electricity sector"</w:t>
            </w:r>
          </w:p>
        </w:tc>
        <w:tc>
          <w:tcPr/>
          <w:p>
            <w:pPr>
              <w:pStyle w:val="Compact"/>
            </w:pPr>
            <w:r>
              <w:t xml:space="preserve">6</w:t>
            </w:r>
          </w:p>
        </w:tc>
      </w:tr>
      <w:tr>
        <w:tc>
          <w:tcPr/>
          <w:p>
            <w:pPr>
              <w:pStyle w:val="Compact"/>
            </w:pPr>
            <w:r>
              <w:t xml:space="preserve">Avances de implementación</w:t>
            </w:r>
          </w:p>
        </w:tc>
        <w:tc>
          <w:tcPr/>
          <w:p>
            <w:pPr>
              <w:pStyle w:val="Compact"/>
            </w:pPr>
            <w:r>
              <w:t xml:space="preserve">"Belize, Guyana, Jamaica, Saint Kitts and Nevis, and Trinidad and Tobago have already engaged with the Caribbean Centre for Renewable Energy and Energy Efficiency (CCREEE) Climate Resilience Programme to develop IRRPs"</w:t>
            </w:r>
          </w:p>
        </w:tc>
        <w:tc>
          <w:tcPr/>
          <w:p>
            <w:pPr>
              <w:pStyle w:val="Compact"/>
            </w:pPr>
            <w:r>
              <w:t xml:space="preserve">6</w:t>
            </w:r>
          </w:p>
        </w:tc>
      </w:tr>
    </w:tbl>
    <w:bookmarkEnd w:id="14"/>
    <w:bookmarkStart w:id="15" w:name="X81614c3a87295bb14bbd975b9a62aae8bbfd25b"/>
    <w:p>
      <w:pPr>
        <w:pStyle w:val="Heading3"/>
      </w:pPr>
      <w:r>
        <w:t xml:space="preserve">3.4 Technologies and technical solutions for building climate resilience (páginas 8-9)</w:t>
      </w:r>
    </w:p>
    <w:p>
      <w:pPr>
        <w:pStyle w:val="FirstParagraph"/>
      </w:pPr>
      <w:r>
        <w:t xml:space="preserve">Cataloga cinco familias de soluciones técnicas para que gobiernos, empresas eléctricas, comunidades y empresas evalúen medidas costo-efectivas y de menor arrepentimiento. (1) Energías renovables, con tres argumentos de resiliencia: fuente local no interrumpible cuando los desastres dañan puertos y rutas de suministro de combustible, generación distribuida que reduce la dependencia de las líneas de transmisión y distribución (el segmento más vulnerable de la cadena) y diversificación de la matriz; incluye el caso de los techos solares que evitaron apagones en hogares de Puerto Rico tras el huracán Fiona (2022). (2) Almacenamiento (baterías, volantes de inercia, aire comprimido, bombeo hidráulico), con el caso de 20MW de baterías que sostuvieron la estabilidad de red en República Dominicana durante los huracanes Irma y María (2017). (3) Mini y microrredes para la infraestructura crítica mapeada por la planificación de resiliencia: hospitales, aeropuertos, telecomunicaciones, refugios, plantas de agua y saneamiento y oficinas esenciales de gobierno. (4) Redes inteligentes que, con datos en tiempo real, redirigen y priorizan el suministro durante eventos extremos. (5) Refuerzo de la infraestructura existente, con evidencia post-Irma/María de que llevar sistemas solares fotovoltaicos del estándar de categoría 3 a resistencia de categoría 5 encarece los costos de construcción solo entre 5% y 5,5%, lo que a su vez exige estándares, códigos y regulaciones desarrollados en colaboración multiactor (proveedores, instaladores, empresas eléctricas, consumidores) con I+D de instituciones educativas nacionales y regionales.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Propuestas de política</w:t>
            </w:r>
          </w:p>
        </w:tc>
        <w:tc>
          <w:tcPr/>
          <w:p>
            <w:pPr>
              <w:pStyle w:val="Compact"/>
            </w:pPr>
            <w:r>
              <w:t xml:space="preserve">"Storage solutions can provide or add backup capabilities to the grid in the event of service disruption or grid failure during or after an extreme weather event"</w:t>
            </w:r>
          </w:p>
        </w:tc>
        <w:tc>
          <w:tcPr/>
          <w:p>
            <w:pPr>
              <w:pStyle w:val="Compact"/>
            </w:pPr>
            <w:r>
              <w:t xml:space="preserve">8</w:t>
            </w:r>
          </w:p>
        </w:tc>
      </w:tr>
      <w:tr>
        <w:tc>
          <w:tcPr/>
          <w:p>
            <w:pPr>
              <w:pStyle w:val="Compact"/>
            </w:pPr>
            <w:r>
              <w:t xml:space="preserve">Avances de implementación</w:t>
            </w:r>
          </w:p>
        </w:tc>
        <w:tc>
          <w:tcPr/>
          <w:p>
            <w:pPr>
              <w:pStyle w:val="Compact"/>
            </w:pPr>
            <w:r>
              <w:t xml:space="preserve">"a 20MW of battery storage employed in the Dominican Republic during Hurricanes Irma and Maria supported grid stability, frequency control, and critical reliability services"</w:t>
            </w:r>
          </w:p>
        </w:tc>
        <w:tc>
          <w:tcPr/>
          <w:p>
            <w:pPr>
              <w:pStyle w:val="Compact"/>
            </w:pPr>
            <w:r>
              <w:t xml:space="preserve">8</w:t>
            </w:r>
          </w:p>
        </w:tc>
      </w:tr>
      <w:tr>
        <w:tc>
          <w:tcPr/>
          <w:p>
            <w:pPr>
              <w:pStyle w:val="Compact"/>
            </w:pPr>
            <w:r>
              <w:t xml:space="preserve">Oportunidades</w:t>
            </w:r>
          </w:p>
        </w:tc>
        <w:tc>
          <w:tcPr/>
          <w:p>
            <w:pPr>
              <w:pStyle w:val="Compact"/>
            </w:pPr>
            <w:r>
              <w:t xml:space="preserve">"a diversified renewable energy matrix is inherently more resilient because it allows countries to be less exposed to shocks affecting one fuel or energy source"</w:t>
            </w:r>
          </w:p>
        </w:tc>
        <w:tc>
          <w:tcPr/>
          <w:p>
            <w:pPr>
              <w:pStyle w:val="Compact"/>
            </w:pPr>
            <w:r>
              <w:t xml:space="preserve">8</w:t>
            </w:r>
          </w:p>
        </w:tc>
      </w:tr>
    </w:tbl>
    <w:bookmarkEnd w:id="15"/>
    <w:bookmarkStart w:id="16" w:name="X60c0bfae26d1f5933444e54d5f581dc2bf7f23a"/>
    <w:p>
      <w:pPr>
        <w:pStyle w:val="Heading3"/>
      </w:pPr>
      <w:r>
        <w:t xml:space="preserve">3.5 Policy recommendations / Conclusion (páginas 9-10)</w:t>
      </w:r>
    </w:p>
    <w:p>
      <w:pPr>
        <w:pStyle w:val="FirstParagraph"/>
      </w:pPr>
      <w:r>
        <w:t xml:space="preserve">Cierra el documento con ocho recomendaciones dirigidas a los Estados miembros y a los actores de los sectores de energía y gestión del riesgo de desastres: priorizar el mantenimiento rutinario de la infraestructura eléctrica como medida costo-efectiva de reducción de vulnerabilidad; incorporar la resiliencia climática a la planificación sectorial tradicional considerando toda la cadena de valor; mapear y priorizar las necesidades eléctricas de la infraestructura crítica (telecomunicaciones, hospitales, agua y saneamiento, refrigeración de alimentos, refugios, transporte); fortalecer capacidades humanas e institucionales de producción de estadísticas energéticas y datos de desastres oportunos y accesibles; promover un enfoque colaborativo multiactor en todas las etapas; acelerar la incorporación de renovables al mix de generación actualizando las metas vencidas; llevar la resiliencia climática a los estándares de calidad, códigos de construcción y regulaciones sectoriales apoyándose en instituciones nacionales de I+D; y revisar políticas, arreglos institucionales, legislación y regulación para atraer la inversión privada que financie los costos adicionales de la resiliencia. La conclusión reitera el argumento central del brief: la planificación proactiva que identifica y mitiga sistemáticamente riesgos multiamenaza —con el IRRP como "plataforma ideal" para un diálogo colaborativo multiactor basado en datos— es la vía para enfrentar la amenaza creciente del cambio climático sobre toda la cadena de valor eléctrica.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Propuestas de política</w:t>
            </w:r>
          </w:p>
        </w:tc>
        <w:tc>
          <w:tcPr/>
          <w:p>
            <w:pPr>
              <w:pStyle w:val="Compact"/>
            </w:pPr>
            <w:r>
              <w:t xml:space="preserve">"Methodologies that mainstream climate resilience into traditional power sector planning — such as the Integrated Resource and Resilience Plans (IRRP) — are the ideal platform to promote a data-driven and multi-stakeholder collaborative dialogue"</w:t>
            </w:r>
          </w:p>
        </w:tc>
        <w:tc>
          <w:tcPr/>
          <w:p>
            <w:pPr>
              <w:pStyle w:val="Compact"/>
            </w:pPr>
            <w:r>
              <w:t xml:space="preserve">10</w:t>
            </w:r>
          </w:p>
        </w:tc>
      </w:tr>
    </w:tbl>
    <w:bookmarkEnd w:id="16"/>
    <w:bookmarkEnd w:id="17"/>
    <w:bookmarkStart w:id="22" w:name="X2192199725c80765cce938f59639f7854a5c5d3"/>
    <w:p>
      <w:pPr>
        <w:pStyle w:val="Heading2"/>
      </w:pPr>
      <w:r>
        <w:t xml:space="preserve">4. Interpelación institucional (nivel: documento completo)</w:t>
      </w:r>
    </w:p>
    <w:bookmarkStart w:id="18" w:name="X546bbdd4ecd42991faf237d056fcb152101f15e"/>
    <w:p>
      <w:pPr>
        <w:pStyle w:val="Heading3"/>
      </w:pPr>
      <w:r>
        <w:t xml:space="preserve">Criterio i — ¿Promueve el gran impulso ambiental con elementos concretos? →</w:t>
      </w:r>
      <w:r>
        <w:t xml:space="preserve"> </w:t>
      </w:r>
      <w:r>
        <w:rPr>
          <w:b/>
          <w:bCs/>
        </w:rPr>
        <w:t xml:space="preserve">Parcial</w:t>
      </w:r>
    </w:p>
    <w:p>
      <w:pPr>
        <w:pStyle w:val="FirstParagraph"/>
      </w:pPr>
      <w:r>
        <w:rPr>
          <w:b/>
          <w:bCs/>
        </w:rPr>
        <w:t xml:space="preserve">Razonamiento:</w:t>
      </w:r>
      <w:r>
        <w:t xml:space="preserve"> </w:t>
      </w:r>
      <w:r>
        <w:t xml:space="preserve">Evaluado contra las tres pruebas derivadas de</w:t>
      </w:r>
      <w:r>
        <w:t xml:space="preserve"> </w:t>
      </w:r>
      <w:r>
        <w:rPr>
          <w:i/>
          <w:iCs/>
        </w:rPr>
        <w:t xml:space="preserve">Horizontes 2030</w:t>
      </w:r>
      <w:r>
        <w:t xml:space="preserve">. Prueba 1 —inversión masiva y coordinada, no reformas fragmentadas—: NO pasa; el documento propone medidas de resiliencia y una metodología de planificación dentro de un único sector (electricidad); el IRRP coordina escenarios y medidas al interior del sector eléctrico, pero no hay un paquete coordinado de inversiones y políticas simultáneas a escala del modelo de desarrollo. Prueba 2 —sectores estratégicos nombrados con instrumento identificable—: SÍ pasa; aterriza en la transición energética (uno de los sectores estratégicos del enfoque) con instrumentos concretos: el IRRP, la actualización de metas renovables vencidas y la reforma regulatoria para atraer inversión privada. Prueba 3 —al menos dos de las tres eficiencias—: NO pasa; solo la eficiencia ambiental está presente (aceleración de renovables como adaptación, compromisos de reducción de emisiones como impulsor de la transición); no hay conexión con la eficiencia de empleo/demanda interna (el documento no menciona empleo, demanda interna ni desigualdad en ningún pasaje) y la tecnológica solo aparece de forma incidental (I+D con instituciones nacionales para probar estándares técnicos, p.9), sin estrategia de incorporación de conocimiento en los procesos productivos locales. Resultado según la regla de lectura: sin la prueba 1 no puede haber "Sí"; con la prueba 2 aprobada, el caso corresponde exactamente a "Parcial" — instrumento concreto pero sectorial, sin lógica de paquete coordinado.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 de respaldo</w:t>
            </w:r>
          </w:p>
        </w:tc>
        <w:tc>
          <w:tcPr/>
          <w:p>
            <w:pPr>
              <w:pStyle w:val="Compact"/>
            </w:pPr>
            <w:r>
              <w:t xml:space="preserve">Página</w:t>
            </w:r>
          </w:p>
        </w:tc>
      </w:tr>
      <w:tr>
        <w:tc>
          <w:tcPr/>
          <w:p>
            <w:pPr>
              <w:pStyle w:val="Compact"/>
            </w:pPr>
            <w:r>
              <w:t xml:space="preserve">"Scale up and accelerate the incorporation of renewable energy sources into the electricity generation mix as a key climate adaptation measure, updating expired renewable energy targets when required"</w:t>
            </w:r>
          </w:p>
        </w:tc>
        <w:tc>
          <w:tcPr/>
          <w:p>
            <w:pPr>
              <w:pStyle w:val="Compact"/>
            </w:pPr>
            <w:r>
              <w:t xml:space="preserve">10</w:t>
            </w:r>
          </w:p>
        </w:tc>
      </w:tr>
      <w:tr>
        <w:tc>
          <w:tcPr/>
          <w:p>
            <w:pPr>
              <w:pStyle w:val="Compact"/>
            </w:pPr>
            <w:r>
              <w:t xml:space="preserve">"Review and update the power sector's policies, institutional arrangements, legislation, and regulations to attract private investments and competition to finance the additional costs required by building climate resilience in the power sector"</w:t>
            </w:r>
          </w:p>
        </w:tc>
        <w:tc>
          <w:tcPr/>
          <w:p>
            <w:pPr>
              <w:pStyle w:val="Compact"/>
            </w:pPr>
            <w:r>
              <w:t xml:space="preserve">10</w:t>
            </w:r>
          </w:p>
        </w:tc>
      </w:tr>
    </w:tbl>
    <w:bookmarkEnd w:id="18"/>
    <w:bookmarkStart w:id="19" w:name="Xd31c2bb18b6e1704342a85500104596f5f8673f"/>
    <w:p>
      <w:pPr>
        <w:pStyle w:val="Heading3"/>
      </w:pPr>
      <w:r>
        <w:t xml:space="preserve">Criterio ii — ¿Articula actores mediante un mecanismo concreto? →</w:t>
      </w:r>
      <w:r>
        <w:t xml:space="preserve"> </w:t>
      </w:r>
      <w:r>
        <w:rPr>
          <w:b/>
          <w:bCs/>
        </w:rPr>
        <w:t xml:space="preserve">Sí</w:t>
      </w:r>
    </w:p>
    <w:p>
      <w:pPr>
        <w:pStyle w:val="FirstParagraph"/>
      </w:pPr>
      <w:r>
        <w:rPr>
          <w:b/>
          <w:bCs/>
        </w:rPr>
        <w:t xml:space="preserve">Razonamiento:</w:t>
      </w:r>
      <w:r>
        <w:t xml:space="preserve"> </w:t>
      </w:r>
      <w:r>
        <w:t xml:space="preserve">El documento nombra un mecanismo de coordinación con nombre propio: el Integrated Resource and Resilience Plan (IRRP), avalado por los Estados miembros de CARICOM como mecanismo preferido de planificación del sector eléctrico y ya adoptado por cinco países (Belice, Guyana, Jamaica, Saint Kitts y Nevis, Trinidad y Tabago) con apoyo institucional del CCREEE, que además fortalece capacidades de modelización en gobiernos y empresas eléctricas. Verificación de ámbito: el IRRP pertenece al ámbito de aplicación del documento —los SIDS del Caribe agrupados en CARICOM— y está vigente y en implementación dentro de ese ámbito; no es un referente extrarregional citado como buena práctica ajena, por lo que el "Sí" se sostiene. Nota: se cita esta evidencia y no el lenguaje de "deber ser" de la p.9 ("promote a collaborative multiple-stakeholder approach…"), que enumera actores pero no nombra ningún mecanismo y por sí solo no alcanzaría "Sí".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 de respaldo</w:t>
            </w:r>
          </w:p>
        </w:tc>
        <w:tc>
          <w:tcPr/>
          <w:p>
            <w:pPr>
              <w:pStyle w:val="Compact"/>
            </w:pPr>
            <w:r>
              <w:t xml:space="preserve">Página</w:t>
            </w:r>
          </w:p>
        </w:tc>
      </w:tr>
      <w:tr>
        <w:tc>
          <w:tcPr/>
          <w:p>
            <w:pPr>
              <w:pStyle w:val="Compact"/>
            </w:pPr>
            <w:r>
              <w:t xml:space="preserve">"CARICOM member States endorsed the IRRP as a preferred mechanism to guide planning in the electricity sector"</w:t>
            </w:r>
          </w:p>
        </w:tc>
        <w:tc>
          <w:tcPr/>
          <w:p>
            <w:pPr>
              <w:pStyle w:val="Compact"/>
            </w:pPr>
            <w:r>
              <w:t xml:space="preserve">6</w:t>
            </w:r>
          </w:p>
        </w:tc>
      </w:tr>
      <w:tr>
        <w:tc>
          <w:tcPr/>
          <w:p>
            <w:pPr>
              <w:pStyle w:val="Compact"/>
            </w:pPr>
            <w:r>
              <w:t xml:space="preserve">"Belize, Guyana, Jamaica, Saint Kitts and Nevis, and Trinidad and Tobago have already engaged with the Caribbean Centre for Renewable Energy and Energy Efficiency (CCREEE) Climate Resilience Programme to develop IRRPs"</w:t>
            </w:r>
          </w:p>
        </w:tc>
        <w:tc>
          <w:tcPr/>
          <w:p>
            <w:pPr>
              <w:pStyle w:val="Compact"/>
            </w:pPr>
            <w:r>
              <w:t xml:space="preserve">6</w:t>
            </w:r>
          </w:p>
        </w:tc>
      </w:tr>
    </w:tbl>
    <w:bookmarkEnd w:id="19"/>
    <w:bookmarkStart w:id="20" w:name="X5cd795c2a722be680fb0c1cde6e36e2d08b21fd"/>
    <w:p>
      <w:pPr>
        <w:pStyle w:val="Heading3"/>
      </w:pPr>
      <w:r>
        <w:t xml:space="preserve">Criterio iii — ¿Releva oportunidades productivas sostenibles? →</w:t>
      </w:r>
      <w:r>
        <w:t xml:space="preserve"> </w:t>
      </w:r>
      <w:r>
        <w:rPr>
          <w:b/>
          <w:bCs/>
        </w:rPr>
        <w:t xml:space="preserve">No</w:t>
      </w:r>
    </w:p>
    <w:p>
      <w:pPr>
        <w:pStyle w:val="FirstParagraph"/>
      </w:pPr>
      <w:r>
        <w:rPr>
          <w:b/>
          <w:bCs/>
        </w:rPr>
        <w:t xml:space="preserve">Razonamiento (chequeo negativo explícito):</w:t>
      </w:r>
      <w:r>
        <w:t xml:space="preserve"> </w:t>
      </w:r>
      <w:r>
        <w:t xml:space="preserve">Se revisó el documento completo buscando (a) una enumeración de sectores, industrias, mercados o actividades productivas concretas presentadas como oportunidad económica, y (b) un vínculo explícito de esa enumeración con empleo, productividad o desigualdad. No aparece ninguno de los dos elementos en ningún pasaje de las 12 páginas: las renovables y las tecnologías de resiliencia se presentan por su función técnica (seguridad de suministro, estabilidad de red, reducción de vulnerabilidad), no como oportunidad productiva; las palabras empleo, productividad y desigualdad no figuran en el texto. El foco es exclusivamente la resiliencia de infraestructura y la planificación técnica del sector eléctrico.</w:t>
      </w:r>
    </w:p>
    <w:bookmarkEnd w:id="20"/>
    <w:bookmarkStart w:id="21" w:name="X97da72e15feee76643528ad5d080595f311c7a2"/>
    <w:p>
      <w:pPr>
        <w:pStyle w:val="Heading3"/>
      </w:pPr>
      <w:r>
        <w:t xml:space="preserve">Criterio iv — ¿Propone el "cómo hacerlo" de forma concreta? →</w:t>
      </w:r>
      <w:r>
        <w:t xml:space="preserve"> </w:t>
      </w:r>
      <w:r>
        <w:rPr>
          <w:b/>
          <w:bCs/>
        </w:rPr>
        <w:t xml:space="preserve">Sí</w:t>
      </w:r>
    </w:p>
    <w:p>
      <w:pPr>
        <w:pStyle w:val="FirstParagraph"/>
      </w:pPr>
      <w:r>
        <w:rPr>
          <w:b/>
          <w:bCs/>
        </w:rPr>
        <w:t xml:space="preserve">Razonamiento:</w:t>
      </w:r>
      <w:r>
        <w:t xml:space="preserve"> </w:t>
      </w:r>
      <w:r>
        <w:t xml:space="preserve">El documento presenta una lista explícita de ocho recomendaciones de política (p.9-10), sometidas una a una a la prueba de concreción (verbo de acción + objeto específico, opcionalmente actor, plazo o métrica): seis pasan la prueba y dos quedan en el plano de principio general ("mainstreaming" de resiliencia en la planificación y enfoque colaborativo multiactor, ambas sin entregable ni actor responsable identificable). La mayoría concreta (6 de 8) sostiene el veredicto "Sí".</w:t>
      </w:r>
    </w:p>
    <w:p>
      <w:pPr>
        <w:pStyle w:val="BodyText"/>
      </w:pPr>
      <w:r>
        <w:rPr>
          <w:b/>
          <w:bCs/>
        </w:rPr>
        <w:t xml:space="preserve">Desglose ítem por ítem: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Ítem de la lista de recomendaciones</w:t>
            </w:r>
          </w:p>
        </w:tc>
        <w:tc>
          <w:tcPr/>
          <w:p>
            <w:pPr>
              <w:pStyle w:val="Compact"/>
            </w:pPr>
            <w:r>
              <w:t xml:space="preserve">Clasificación</w:t>
            </w:r>
          </w:p>
        </w:tc>
        <w:tc>
          <w:tcPr/>
          <w:p>
            <w:pPr>
              <w:pStyle w:val="Compact"/>
            </w:pPr>
            <w:r>
              <w:t xml:space="preserve">Página</w:t>
            </w:r>
          </w:p>
        </w:tc>
      </w:tr>
      <w:tr>
        <w:tc>
          <w:tcPr/>
          <w:p>
            <w:pPr>
              <w:pStyle w:val="Compact"/>
            </w:pPr>
            <w:r>
              <w:t xml:space="preserve">Incluir el mantenimiento regular y mejorado de la infraestructura eléctrica como medida prioritaria en las estrategias de reducción del riesgo de desastres</w:t>
            </w:r>
          </w:p>
        </w:tc>
        <w:tc>
          <w:tcPr/>
          <w:p>
            <w:pPr>
              <w:pStyle w:val="Compact"/>
            </w:pPr>
            <w:r>
              <w:t xml:space="preserve">CONCRETO</w:t>
            </w:r>
          </w:p>
        </w:tc>
        <w:tc>
          <w:tcPr/>
          <w:p>
            <w:pPr>
              <w:pStyle w:val="Compact"/>
            </w:pPr>
            <w:r>
              <w:t xml:space="preserve">9</w:t>
            </w:r>
          </w:p>
        </w:tc>
      </w:tr>
      <w:tr>
        <w:tc>
          <w:tcPr/>
          <w:p>
            <w:pPr>
              <w:pStyle w:val="Compact"/>
            </w:pPr>
            <w:r>
              <w:t xml:space="preserve">Incorporar ("mainstream") la resiliencia climática a la planificación tradicional del sector eléctrico</w:t>
            </w:r>
          </w:p>
        </w:tc>
        <w:tc>
          <w:tcPr/>
          <w:p>
            <w:pPr>
              <w:pStyle w:val="Compact"/>
            </w:pPr>
            <w:r>
              <w:t xml:space="preserve">GENÉRICO</w:t>
            </w:r>
          </w:p>
        </w:tc>
        <w:tc>
          <w:tcPr/>
          <w:p>
            <w:pPr>
              <w:pStyle w:val="Compact"/>
            </w:pPr>
            <w:r>
              <w:t xml:space="preserve">9</w:t>
            </w:r>
          </w:p>
        </w:tc>
      </w:tr>
      <w:tr>
        <w:tc>
          <w:tcPr/>
          <w:p>
            <w:pPr>
              <w:pStyle w:val="Compact"/>
            </w:pPr>
            <w:r>
              <w:t xml:space="preserve">Mapear y priorizar las necesidades eléctricas de la infraestructura crítica (telecomunicaciones, hospitales, agua y saneamiento, refrigeración de alimentos, refugios, transporte)</w:t>
            </w:r>
          </w:p>
        </w:tc>
        <w:tc>
          <w:tcPr/>
          <w:p>
            <w:pPr>
              <w:pStyle w:val="Compact"/>
            </w:pPr>
            <w:r>
              <w:t xml:space="preserve">CONCRETO</w:t>
            </w:r>
          </w:p>
        </w:tc>
        <w:tc>
          <w:tcPr/>
          <w:p>
            <w:pPr>
              <w:pStyle w:val="Compact"/>
            </w:pPr>
            <w:r>
              <w:t xml:space="preserve">9</w:t>
            </w:r>
          </w:p>
        </w:tc>
      </w:tr>
      <w:tr>
        <w:tc>
          <w:tcPr/>
          <w:p>
            <w:pPr>
              <w:pStyle w:val="Compact"/>
            </w:pPr>
            <w:r>
              <w:t xml:space="preserve">Fortalecer capacidades humanas e institucionales para recolectar, procesar, analizar y difundir estadísticas energéticas y datos de desastres de forma oportuna y accesible</w:t>
            </w:r>
          </w:p>
        </w:tc>
        <w:tc>
          <w:tcPr/>
          <w:p>
            <w:pPr>
              <w:pStyle w:val="Compact"/>
            </w:pPr>
            <w:r>
              <w:t xml:space="preserve">CONCRETO</w:t>
            </w:r>
          </w:p>
        </w:tc>
        <w:tc>
          <w:tcPr/>
          <w:p>
            <w:pPr>
              <w:pStyle w:val="Compact"/>
            </w:pPr>
            <w:r>
              <w:t xml:space="preserve">9</w:t>
            </w:r>
          </w:p>
        </w:tc>
      </w:tr>
      <w:tr>
        <w:tc>
          <w:tcPr/>
          <w:p>
            <w:pPr>
              <w:pStyle w:val="Compact"/>
            </w:pPr>
            <w:r>
              <w:t xml:space="preserve">Promover un enfoque colaborativo multiactor en todas las etapas del proceso de planificación e implementación</w:t>
            </w:r>
          </w:p>
        </w:tc>
        <w:tc>
          <w:tcPr/>
          <w:p>
            <w:pPr>
              <w:pStyle w:val="Compact"/>
            </w:pPr>
            <w:r>
              <w:t xml:space="preserve">GENÉRICO</w:t>
            </w:r>
          </w:p>
        </w:tc>
        <w:tc>
          <w:tcPr/>
          <w:p>
            <w:pPr>
              <w:pStyle w:val="Compact"/>
            </w:pPr>
            <w:r>
              <w:t xml:space="preserve">9-10</w:t>
            </w:r>
          </w:p>
        </w:tc>
      </w:tr>
      <w:tr>
        <w:tc>
          <w:tcPr/>
          <w:p>
            <w:pPr>
              <w:pStyle w:val="Compact"/>
            </w:pPr>
            <w:r>
              <w:t xml:space="preserve">Escalar y acelerar la incorporación de renovables al mix de generación, actualizando las metas vencidas cuando corresponda</w:t>
            </w:r>
          </w:p>
        </w:tc>
        <w:tc>
          <w:tcPr/>
          <w:p>
            <w:pPr>
              <w:pStyle w:val="Compact"/>
            </w:pPr>
            <w:r>
              <w:t xml:space="preserve">CONCRETO</w:t>
            </w:r>
          </w:p>
        </w:tc>
        <w:tc>
          <w:tcPr/>
          <w:p>
            <w:pPr>
              <w:pStyle w:val="Compact"/>
            </w:pPr>
            <w:r>
              <w:t xml:space="preserve">10</w:t>
            </w:r>
          </w:p>
        </w:tc>
      </w:tr>
      <w:tr>
        <w:tc>
          <w:tcPr/>
          <w:p>
            <w:pPr>
              <w:pStyle w:val="Compact"/>
            </w:pPr>
            <w:r>
              <w:t xml:space="preserve">Incorporar la resiliencia climática a los estándares de calidad, códigos de construcción y regulaciones sectoriales, empleando instituciones nacionales de I+D</w:t>
            </w:r>
          </w:p>
        </w:tc>
        <w:tc>
          <w:tcPr/>
          <w:p>
            <w:pPr>
              <w:pStyle w:val="Compact"/>
            </w:pPr>
            <w:r>
              <w:t xml:space="preserve">CONCRETO</w:t>
            </w:r>
          </w:p>
        </w:tc>
        <w:tc>
          <w:tcPr/>
          <w:p>
            <w:pPr>
              <w:pStyle w:val="Compact"/>
            </w:pPr>
            <w:r>
              <w:t xml:space="preserve">10</w:t>
            </w:r>
          </w:p>
        </w:tc>
      </w:tr>
      <w:tr>
        <w:tc>
          <w:tcPr/>
          <w:p>
            <w:pPr>
              <w:pStyle w:val="Compact"/>
            </w:pPr>
            <w:r>
              <w:t xml:space="preserve">Revisar y actualizar políticas, arreglos institucionales, legislación y regulación del sector para atraer inversión privada y competencia</w:t>
            </w:r>
          </w:p>
        </w:tc>
        <w:tc>
          <w:tcPr/>
          <w:p>
            <w:pPr>
              <w:pStyle w:val="Compact"/>
            </w:pPr>
            <w:r>
              <w:t xml:space="preserve">CONCRETO</w:t>
            </w:r>
          </w:p>
        </w:tc>
        <w:tc>
          <w:tcPr/>
          <w:p>
            <w:pPr>
              <w:pStyle w:val="Compact"/>
            </w:pPr>
            <w:r>
              <w:t xml:space="preserve">10</w:t>
            </w:r>
          </w:p>
        </w:tc>
      </w:tr>
    </w:tbl>
    <w:p>
      <w:pPr>
        <w:pStyle w:val="BodyText"/>
      </w:pPr>
      <w:r>
        <w:rPr>
          <w:b/>
          <w:bCs/>
        </w:rPr>
        <w:t xml:space="preserve">Balance: 6 de 8 ítems pasan la prueba de concreción.</w:t>
      </w:r>
    </w:p>
    <w:bookmarkEnd w:id="21"/>
    <w:bookmarkEnd w:id="22"/>
    <w:bookmarkStart w:id="23" w:name="Xfdcff26cf762c1f189f6b72612a1b83368ed136"/>
    <w:p>
      <w:pPr>
        <w:pStyle w:val="Heading2"/>
      </w:pPr>
      <w:r>
        <w:t xml:space="preserve">5. Tipología (nivel: documento completo)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Transformación primaria</w:t>
            </w:r>
          </w:p>
        </w:tc>
        <w:tc>
          <w:tcPr/>
          <w:p>
            <w:pPr>
              <w:pStyle w:val="Compact"/>
            </w:pPr>
            <w:r>
              <w:t xml:space="preserve">#6 Sostenibilidad ambiental — certeza</w:t>
            </w:r>
            <w:r>
              <w:t xml:space="preserve"> </w:t>
            </w:r>
            <w:r>
              <w:rPr>
                <w:b/>
                <w:bCs/>
              </w:rPr>
              <w:t xml:space="preserve">Alta</w:t>
            </w:r>
          </w:p>
        </w:tc>
      </w:tr>
      <w:tr>
        <w:tc>
          <w:tcPr/>
          <w:p>
            <w:pPr>
              <w:pStyle w:val="Compact"/>
            </w:pPr>
            <w:r>
              <w:t xml:space="preserve">Transformación secundaria</w:t>
            </w:r>
          </w:p>
        </w:tc>
        <w:tc>
          <w:tcPr/>
          <w:p>
            <w:pPr>
              <w:pStyle w:val="Compact"/>
            </w:pPr>
            <w:r>
              <w:t xml:space="preserve">#11 Capacidades del Estado — certeza</w:t>
            </w:r>
            <w:r>
              <w:t xml:space="preserve"> </w:t>
            </w:r>
            <w:r>
              <w:rPr>
                <w:b/>
                <w:bCs/>
              </w:rPr>
              <w:t xml:space="preserve">Alta</w:t>
            </w:r>
          </w:p>
        </w:tc>
      </w:tr>
      <w:tr>
        <w:tc>
          <w:tcPr/>
          <w:p>
            <w:pPr>
              <w:pStyle w:val="Compact"/>
            </w:pPr>
            <w:r>
              <w:t xml:space="preserve">Tipo de documento climático</w:t>
            </w:r>
          </w:p>
        </w:tc>
        <w:tc>
          <w:tcPr/>
          <w:p>
            <w:pPr>
              <w:pStyle w:val="Compact"/>
            </w:pPr>
            <w:r>
              <w:t xml:space="preserve">Propuesta de política sectorial</w:t>
            </w:r>
          </w:p>
        </w:tc>
      </w:tr>
      <w:tr>
        <w:tc>
          <w:tcPr/>
          <w:p>
            <w:pPr>
              <w:pStyle w:val="Compact"/>
            </w:pPr>
            <w:r>
              <w:t xml:space="preserve">Nivel de aplicación</w:t>
            </w:r>
          </w:p>
        </w:tc>
        <w:tc>
          <w:tcPr/>
          <w:p>
            <w:pPr>
              <w:pStyle w:val="Compact"/>
            </w:pPr>
            <w:r>
              <w:t xml:space="preserve">Regional/subregional (Caribe, CARICOM)</w:t>
            </w:r>
          </w:p>
        </w:tc>
      </w:tr>
      <w:tr>
        <w:tc>
          <w:tcPr/>
          <w:p>
            <w:pPr>
              <w:pStyle w:val="Compact"/>
            </w:pPr>
            <w:r>
              <w:t xml:space="preserve">Ambigüedad pendiente</w:t>
            </w:r>
          </w:p>
        </w:tc>
        <w:tc>
          <w:tcPr/>
          <w:p>
            <w:pPr>
              <w:pStyle w:val="Compact"/>
            </w:pPr>
            <w:r>
              <w:t xml:space="preserve">Ninguna</w:t>
            </w:r>
          </w:p>
        </w:tc>
      </w:tr>
    </w:tbl>
    <w:p>
      <w:pPr>
        <w:pStyle w:val="BodyText"/>
      </w:pPr>
      <w:r>
        <w:rPr>
          <w:b/>
          <w:bCs/>
        </w:rPr>
        <w:t xml:space="preserve">Razonamiento en 5 pasos:</w:t>
      </w:r>
    </w:p>
    <w:p>
      <w:pPr>
        <w:pStyle w:val="Compact"/>
        <w:numPr>
          <w:ilvl w:val="0"/>
          <w:numId w:val="1003"/>
        </w:numPr>
      </w:pPr>
      <w:r>
        <w:rPr>
          <w:b/>
          <w:bCs/>
        </w:rPr>
        <w:t xml:space="preserve">Tensión que procesa el documento:</w:t>
      </w:r>
      <w:r>
        <w:t xml:space="preserve"> </w:t>
      </w:r>
      <w:r>
        <w:t xml:space="preserve">la contradicción entre una infraestructura eléctrica diseñada bajo la lógica del menor costo —empresa eléctrica única, generación centralizada, dependencia de fósiles importados— y una realidad climática de huracanes cada vez más frecuentes y cambios graduales (temperatura, nivel del mar) que esa infraestructura no fue diseñada para resistir. La energía no es un canal para hablar de otra cosa: la resiliencia del sistema eléctrico es el sujeto mismo del texto.</w:t>
      </w:r>
    </w:p>
    <w:p>
      <w:pPr>
        <w:pStyle w:val="Compact"/>
        <w:numPr>
          <w:ilvl w:val="0"/>
          <w:numId w:val="1003"/>
        </w:numPr>
      </w:pPr>
      <w:r>
        <w:rPr>
          <w:b/>
          <w:bCs/>
        </w:rPr>
        <w:t xml:space="preserve">Categoría primaria:</w:t>
      </w:r>
      <w:r>
        <w:t xml:space="preserve"> </w:t>
      </w:r>
      <w:r>
        <w:t xml:space="preserve">lo que el documento pretende transformar es la manera en que los SIDS del Caribe planifican, construyen y regulan su sector eléctrico frente al cambio climático, dentro de la transición hacia renovables: adaptación y sostenibilidad del sistema energético, no política fiscal, comercio ni protección social. Eso ancla la primaria en la transformación 6.</w:t>
      </w:r>
    </w:p>
    <w:p>
      <w:pPr>
        <w:pStyle w:val="Compact"/>
        <w:numPr>
          <w:ilvl w:val="0"/>
          <w:numId w:val="1003"/>
        </w:numPr>
      </w:pPr>
      <w:r>
        <w:rPr>
          <w:b/>
          <w:bCs/>
        </w:rPr>
        <w:t xml:space="preserve">Secundaria (obligatoria):</w:t>
      </w:r>
      <w:r>
        <w:t xml:space="preserve"> </w:t>
      </w:r>
      <w:r>
        <w:t xml:space="preserve">la segunda intención transformadora es institucional: el grueso de las recomendaciones operativas apunta a capacidades del Estado y de los reguladores —fortalecer la producción de estadísticas energéticas y datos de desastres, mapear infraestructura crítica, actualizar políticas, legislación y arreglos institucionales para atraer inversión privada, y coordinar actores mediante el IRRP—, no a la tecnología en sí. Por eso la secundaria es la transformación 11.</w:t>
      </w:r>
    </w:p>
    <w:p>
      <w:pPr>
        <w:pStyle w:val="Compact"/>
        <w:numPr>
          <w:ilvl w:val="0"/>
          <w:numId w:val="1003"/>
        </w:numPr>
      </w:pPr>
      <w:r>
        <w:rPr>
          <w:b/>
          <w:bCs/>
        </w:rPr>
        <w:t xml:space="preserve">Justificación específica (regla anti-copia):</w:t>
      </w:r>
      <w:r>
        <w:t xml:space="preserve"> </w:t>
      </w:r>
      <w:r>
        <w:t xml:space="preserve">conceptos literales del documento que sostienen la clasificación: el paso del "least-cost plan" al "least-regret plan" vía IRRP; el aval de CARICOM y el Programa de Resiliencia Climática del CCREEE en cinco países; el mandato de producir estadísticas energéticas "in a timely and accessible manner"; el mapeo de infraestructura crítica (hospitales, telecomunicaciones, agua); y el dato de que endurecer sistemas solares a categoría 5 cuesta solo 5%-5,5% adicional, usado para pedir códigos y estándares sectoriales. Ninguno de estos elementos es transferible a otro documento del corpus sin reescribirse.</w:t>
      </w:r>
    </w:p>
    <w:p>
      <w:pPr>
        <w:pStyle w:val="Compact"/>
        <w:numPr>
          <w:ilvl w:val="0"/>
          <w:numId w:val="1003"/>
        </w:numPr>
      </w:pPr>
      <w:r>
        <w:rPr>
          <w:b/>
          <w:bCs/>
        </w:rPr>
        <w:t xml:space="preserve">Validación contra casos ancla:</w:t>
      </w:r>
      <w:r>
        <w:t xml:space="preserve"> </w:t>
      </w:r>
      <w:r>
        <w:t xml:space="preserve">este documento es una de las anclas de calibración del corpus climático (primaria 6, secundaria 11, caso relativamente claro) y la clasificación derivada del protocolo coincide con esa ancla. No pertenece a una serie insignia ni Panorama con categoría predefinida; es un policy brief de la sede subregional para el Caribe.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hdl.handle.net/11362/48603" TargetMode="External" /></Relationships>
</file>

<file path=word/_rels/footnotes.xml.rels><?xml version="1.0" encoding="UTF-8"?><Relationships xmlns="http://schemas.openxmlformats.org/package/2006/relationships"><Relationship Type="http://schemas.openxmlformats.org/officeDocument/2006/relationships/hyperlink" Id="rId9" Target="https://hdl.handle.net/11362/486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2026-07-09T12:42:37Z</dcterms:created>
  <dcterms:modified xsi:type="dcterms:W3CDTF">2026-07-09T12:42:37Z</dcterms:modified>
</cp:coreProperties>
</file>

<file path=docProps/custom.xml><?xml version="1.0" encoding="utf-8"?>
<Properties xmlns="http://schemas.openxmlformats.org/officeDocument/2006/custom-properties" xmlns:vt="http://schemas.openxmlformats.org/officeDocument/2006/docPropsVTypes"/>
</file>