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8b606452a78c4db227e77d2ee77efb0a9ba629"/>
    <w:p>
      <w:pPr>
        <w:pStyle w:val="Heading1"/>
      </w:pPr>
      <w:r>
        <w:t xml:space="preserve">Anexo 2 — Ficha completa del documento 11 (piloto)</w:t>
      </w:r>
    </w:p>
    <w:p>
      <w:pPr>
        <w:pStyle w:val="FirstParagraph"/>
      </w:pPr>
      <w:r>
        <w:rPr>
          <w:b/>
          <w:bCs/>
          <w:i/>
          <w:iCs/>
        </w:rPr>
        <w:t xml:space="preserve">El impacto del cambio climático en la pobreza infantil y juvenil de América Latina</w:t>
      </w:r>
      <w:r>
        <w:t xml:space="preserve"> </w:t>
      </w:r>
      <w:r>
        <w:t xml:space="preserve">(UNICEF-CEPAL) —</w:t>
      </w:r>
      <w:r>
        <w:t xml:space="preserve"> </w:t>
      </w:r>
      <w:hyperlink r:id="rId9">
        <w:r>
          <w:rPr>
            <w:rStyle w:val="Hyperlink"/>
          </w:rPr>
          <w:t xml:space="preserve">https://hdl.handle.net/11362/82426</w:t>
        </w:r>
      </w:hyperlink>
    </w:p>
    <w:p>
      <w:pPr>
        <w:pStyle w:val="BlockText"/>
      </w:pPr>
      <w:r>
        <w:t xml:space="preserve">Esta ficha es la versión legible del resultado completo que produjo la metodología sobre este documento. Todo lo que aparece fue extraído del PDF; cada cita textual lleva su número de página (la numeración impresa en el documento) para que pueda verificarse.</w:t>
      </w:r>
    </w:p>
    <w:p>
      <w:pPr>
        <w:pStyle w:val="BlockText"/>
      </w:pPr>
      <w:r>
        <w:rPr>
          <w:b/>
          <w:bCs/>
        </w:rPr>
        <w:t xml:space="preserve">Nota:</w:t>
      </w:r>
      <w:r>
        <w:t xml:space="preserve"> </w:t>
      </w:r>
      <w:r>
        <w:t xml:space="preserve">esta ficha procesó los anexos técnicos del documento (sección 5) como apartados. Se generó antes de que fijáramos la regla de no procesar anexos, y se conserva así como registro fiel del piloto; los documentos siguientes ya no incluirán anexos en el resumen por secciones.</w:t>
      </w:r>
    </w:p>
    <w:bookmarkStart w:id="10" w:name="X7f92fd641c9f971d6c17164be3596576b8f0847"/>
    <w:p>
      <w:pPr>
        <w:pStyle w:val="Heading2"/>
      </w:pPr>
      <w:r>
        <w:t xml:space="preserve">1. Datos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 en la muestra de calibración</w:t>
            </w:r>
          </w:p>
        </w:tc>
        <w:tc>
          <w:tcPr/>
          <w:p>
            <w:pPr>
              <w:pStyle w:val="Compact"/>
            </w:pPr>
            <w:r>
              <w:t xml:space="preserve">11</w:t>
            </w:r>
          </w:p>
        </w:tc>
      </w:tr>
      <w:tr>
        <w:tc>
          <w:tcPr/>
          <w:p>
            <w:pPr>
              <w:pStyle w:val="Compact"/>
            </w:pPr>
            <w:r>
              <w:t xml:space="preserve">Título</w:t>
            </w:r>
          </w:p>
        </w:tc>
        <w:tc>
          <w:tcPr/>
          <w:p>
            <w:pPr>
              <w:pStyle w:val="Compact"/>
            </w:pPr>
            <w:r>
              <w:t xml:space="preserve">El impacto del cambio climático en la pobreza infantil y juvenil de América Latina</w:t>
            </w:r>
          </w:p>
        </w:tc>
      </w:tr>
      <w:tr>
        <w:tc>
          <w:tcPr/>
          <w:p>
            <w:pPr>
              <w:pStyle w:val="Compact"/>
            </w:pPr>
            <w:r>
              <w:t xml:space="preserve">Autoría</w:t>
            </w:r>
          </w:p>
        </w:tc>
        <w:tc>
          <w:tcPr/>
          <w:p>
            <w:pPr>
              <w:pStyle w:val="Compact"/>
            </w:pPr>
            <w:r>
              <w:t xml:space="preserve">Rafael Van der Borght; elaborado por la Sección de Cambio Climático, Ambiente, Energía y Reducción del Riesgo de Desastres de UNICEF LACRO y la Unidad de Cambio Climático de la División de Desarrollo Sostenible y Asentamientos Humanos de la CEPAL</w:t>
            </w:r>
          </w:p>
        </w:tc>
      </w:tr>
      <w:tr>
        <w:tc>
          <w:tcPr/>
          <w:p>
            <w:pPr>
              <w:pStyle w:val="Compact"/>
            </w:pPr>
            <w:r>
              <w:t xml:space="preserve">Handle</w:t>
            </w:r>
          </w:p>
        </w:tc>
        <w:tc>
          <w:tcPr/>
          <w:p>
            <w:pPr>
              <w:pStyle w:val="Compact"/>
            </w:pPr>
            <w:hyperlink r:id="rId9">
              <w:r>
                <w:rPr>
                  <w:rStyle w:val="Hyperlink"/>
                </w:rPr>
                <w:t xml:space="preserve">https://hdl.handle.net/11362/82426</w:t>
              </w:r>
            </w:hyperlink>
          </w:p>
        </w:tc>
      </w:tr>
      <w:tr>
        <w:tc>
          <w:tcPr/>
          <w:p>
            <w:pPr>
              <w:pStyle w:val="Compact"/>
            </w:pPr>
            <w:r>
              <w:t xml:space="preserve">Símbolo</w:t>
            </w:r>
          </w:p>
        </w:tc>
        <w:tc>
          <w:tcPr/>
          <w:p>
            <w:pPr>
              <w:pStyle w:val="Compact"/>
            </w:pPr>
            <w:r>
              <w:t xml:space="preserve">LC/TS.2025/36</w:t>
            </w:r>
          </w:p>
        </w:tc>
      </w:tr>
      <w:tr>
        <w:tc>
          <w:tcPr/>
          <w:p>
            <w:pPr>
              <w:pStyle w:val="Compact"/>
            </w:pPr>
            <w:r>
              <w:t xml:space="preserve">ISBN</w:t>
            </w:r>
          </w:p>
        </w:tc>
        <w:tc>
          <w:tcPr/>
          <w:p>
            <w:pPr>
              <w:pStyle w:val="Compact"/>
            </w:pPr>
            <w:r>
              <w:t xml:space="preserve">978-92-806-5671-8</w:t>
            </w:r>
          </w:p>
        </w:tc>
      </w:tr>
      <w:tr>
        <w:tc>
          <w:tcPr/>
          <w:p>
            <w:pPr>
              <w:pStyle w:val="Compact"/>
            </w:pPr>
            <w:r>
              <w:t xml:space="preserve">Fecha</w:t>
            </w:r>
          </w:p>
        </w:tc>
        <w:tc>
          <w:tcPr/>
          <w:p>
            <w:pPr>
              <w:pStyle w:val="Compact"/>
            </w:pPr>
            <w:r>
              <w:t xml:space="preserve">Agosto de 2025</w:t>
            </w:r>
          </w:p>
        </w:tc>
      </w:tr>
      <w:tr>
        <w:tc>
          <w:tcPr/>
          <w:p>
            <w:pPr>
              <w:pStyle w:val="Compact"/>
            </w:pPr>
            <w:r>
              <w:t xml:space="preserve">Tipo de documento</w:t>
            </w:r>
          </w:p>
        </w:tc>
        <w:tc>
          <w:tcPr/>
          <w:p>
            <w:pPr>
              <w:pStyle w:val="Compact"/>
            </w:pPr>
            <w:r>
              <w:t xml:space="preserve">Documento de proyecto o estudio técnico (modelización econométrica interinstitucional UNICEF-CEPAL)</w:t>
            </w:r>
          </w:p>
        </w:tc>
      </w:tr>
      <w:tr>
        <w:tc>
          <w:tcPr/>
          <w:p>
            <w:pPr>
              <w:pStyle w:val="Compact"/>
            </w:pPr>
            <w:r>
              <w:t xml:space="preserve">Páginas de cuerpo / totales</w:t>
            </w:r>
          </w:p>
        </w:tc>
        <w:tc>
          <w:tcPr/>
          <w:p>
            <w:pPr>
              <w:pStyle w:val="Compact"/>
            </w:pPr>
            <w:r>
              <w:t xml:space="preserve">43 / 62</w:t>
            </w:r>
          </w:p>
        </w:tc>
      </w:tr>
      <w:tr>
        <w:tc>
          <w:tcPr/>
          <w:p>
            <w:pPr>
              <w:pStyle w:val="Compact"/>
            </w:pPr>
            <w:r>
              <w:t xml:space="preserve">Idioma</w:t>
            </w:r>
          </w:p>
        </w:tc>
        <w:tc>
          <w:tcPr/>
          <w:p>
            <w:pPr>
              <w:pStyle w:val="Compact"/>
            </w:pPr>
            <w:r>
              <w:t xml:space="preserve">Español</w:t>
            </w:r>
          </w:p>
        </w:tc>
      </w:tr>
      <w:tr>
        <w:tc>
          <w:tcPr/>
          <w:p>
            <w:pPr>
              <w:pStyle w:val="Compact"/>
            </w:pPr>
            <w:r>
              <w:t xml:space="preserve">¿Tiene resumen ejecutivo?</w:t>
            </w:r>
          </w:p>
        </w:tc>
        <w:tc>
          <w:tcPr/>
          <w:p>
            <w:pPr>
              <w:pStyle w:val="Compact"/>
            </w:pPr>
            <w:r>
              <w:t xml:space="preserve">Sí</w:t>
            </w:r>
          </w:p>
        </w:tc>
      </w:tr>
    </w:tbl>
    <w:bookmarkEnd w:id="10"/>
    <w:bookmarkStart w:id="11" w:name="Xdc76b7a10bc6755d97f74d23ab361d848622649"/>
    <w:p>
      <w:pPr>
        <w:pStyle w:val="Heading2"/>
      </w:pPr>
      <w:r>
        <w:t xml:space="preserve">2. Resumen enriquecido</w:t>
      </w:r>
    </w:p>
    <w:p>
      <w:pPr>
        <w:pStyle w:val="FirstParagraph"/>
      </w:pPr>
      <w:r>
        <w:rPr>
          <w:b/>
          <w:bCs/>
        </w:rPr>
        <w:t xml:space="preserve">Pregunta de investigación que responde el documento:</w:t>
      </w:r>
      <w:r>
        <w:t xml:space="preserve"> </w:t>
      </w:r>
      <w:r>
        <w:t xml:space="preserve">¿Cuánta pobreza infantil y juvenil adicional generará el cambio climático en América Latina hacia 2030, bajo distintos escenarios de mitigación global de GEI y de evolución de la desigualdad?</w:t>
      </w:r>
    </w:p>
    <w:p>
      <w:pPr>
        <w:pStyle w:val="BodyText"/>
      </w:pPr>
      <w:r>
        <w:rPr>
          <w:b/>
          <w:bCs/>
        </w:rPr>
        <w:t xml:space="preserve">Alcance: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Plano</w:t>
            </w:r>
          </w:p>
        </w:tc>
        <w:tc>
          <w:tcPr/>
          <w:p>
            <w:pPr>
              <w:pStyle w:val="Compact"/>
            </w:pPr>
            <w:r>
              <w:t xml:space="preserve">Detalle</w:t>
            </w:r>
          </w:p>
        </w:tc>
      </w:tr>
      <w:tr>
        <w:tc>
          <w:tcPr/>
          <w:p>
            <w:pPr>
              <w:pStyle w:val="Compact"/>
            </w:pPr>
            <w:r>
              <w:t xml:space="preserve">Ámbito de aplicación</w:t>
            </w:r>
          </w:p>
        </w:tc>
        <w:tc>
          <w:tcPr/>
          <w:p>
            <w:pPr>
              <w:pStyle w:val="Compact"/>
            </w:pPr>
            <w:r>
              <w:t xml:space="preserve">18 países de América Latina con datos de pobreza armonizados por la CEPAL vía CEPALSTAT (aprox. 95% de la población de ALC), con resultados regionales agregados y proyecciones por país</w:t>
            </w:r>
          </w:p>
        </w:tc>
      </w:tr>
      <w:tr>
        <w:tc>
          <w:tcPr/>
          <w:p>
            <w:pPr>
              <w:pStyle w:val="Compact"/>
            </w:pPr>
            <w:r>
              <w:t xml:space="preserve">Referentes o dependencias</w:t>
            </w:r>
          </w:p>
        </w:tc>
        <w:tc>
          <w:tcPr/>
          <w:p>
            <w:pPr>
              <w:pStyle w:val="Compact"/>
            </w:pPr>
            <w:r>
              <w:t xml:space="preserve">Marcos globales usados como insumo metodológico, no como sujeto de análisis: escenarios climáticos de la fase IV del NGFS, modelización de riesgos de Climate Analytics (modelo macroeconómico NiGEM, CLIMADA), trayectorias SSP, líneas internacionales de pobreza del Banco Mundial ($2.15/$3.65/$6.85) contrastadas en el anexo, y literatura econométrica de funciones de daño (Kalkuhl y Wenz 2020; Burke, Hsiang y Miguel 2015)</w:t>
            </w:r>
          </w:p>
        </w:tc>
      </w:tr>
      <w:tr>
        <w:tc>
          <w:tcPr/>
          <w:p>
            <w:pPr>
              <w:pStyle w:val="Compact"/>
            </w:pPr>
            <w:r>
              <w:t xml:space="preserve">Sectorial</w:t>
            </w:r>
          </w:p>
        </w:tc>
        <w:tc>
          <w:tcPr/>
          <w:p>
            <w:pPr>
              <w:pStyle w:val="Compact"/>
            </w:pPr>
            <w:r>
              <w:t xml:space="preserve">Protección social y pobreza monetaria infantil y juvenil; el cambio climático entra como canal macroeconómico (escenarios de GEI → PIB per cápita → pobreza), no como objeto de política productiva o energética</w:t>
            </w:r>
          </w:p>
        </w:tc>
      </w:tr>
      <w:tr>
        <w:tc>
          <w:tcPr/>
          <w:p>
            <w:pPr>
              <w:pStyle w:val="Compact"/>
            </w:pPr>
            <w:r>
              <w:t xml:space="preserve">Temporal</w:t>
            </w:r>
          </w:p>
        </w:tc>
        <w:tc>
          <w:tcPr/>
          <w:p>
            <w:pPr>
              <w:pStyle w:val="Compact"/>
            </w:pPr>
            <w:r>
              <w:t xml:space="preserve">Panel histórico 2000-2022; proyecciones a 2030 (con referencias a 2050) bajo tres escenarios climáticos (Net Zero 2050, Políticas actuales, Muy poco muy tarde) cruzados con dos trayectorias de desigualdad (Gini constante / Gini +1% anual)</w:t>
            </w:r>
          </w:p>
        </w:tc>
      </w:tr>
    </w:tbl>
    <w:p>
      <w:pPr>
        <w:pStyle w:val="BodyText"/>
      </w:pPr>
      <w:r>
        <w:rPr>
          <w:b/>
          <w:bCs/>
        </w:rPr>
        <w:t xml:space="preserve">Hallazgos principales:</w:t>
      </w:r>
    </w:p>
    <w:p>
      <w:pPr>
        <w:pStyle w:val="Compact"/>
        <w:numPr>
          <w:ilvl w:val="0"/>
          <w:numId w:val="1001"/>
        </w:numPr>
      </w:pPr>
      <w:r>
        <w:t xml:space="preserve">La elasticidad crecimiento-pobreza estimada es η = -1,41*** (OLS) / -1,58*** (panel de efectos fijos) sobre 267 observaciones de 18 países 2000-2022: cada punto porcentual de caída del PIB per cápita eleva significativamente la tasa de pobreza (Cuadro 1, p.24).</w:t>
      </w:r>
    </w:p>
    <w:p>
      <w:pPr>
        <w:pStyle w:val="Compact"/>
        <w:numPr>
          <w:ilvl w:val="0"/>
          <w:numId w:val="1001"/>
        </w:numPr>
      </w:pPr>
      <w:r>
        <w:t xml:space="preserve">Bajo el escenario más ambicioso de mitigación global (Net Zero 2050, +1,47 °C), el cambio climático genera 5,9 millones de niños, niñas, adolescentes y jóvenes adicionales en pobreza hacia 2030 si el Gini no cambia (p.2, p.34), cifra que sube a 14,8 millones si la desigualdad crece 1% anual (p.35).</w:t>
      </w:r>
    </w:p>
    <w:p>
      <w:pPr>
        <w:pStyle w:val="Compact"/>
        <w:numPr>
          <w:ilvl w:val="0"/>
          <w:numId w:val="1001"/>
        </w:numPr>
      </w:pPr>
      <w:r>
        <w:t xml:space="preserve">Bajo Políticas actuales (+2,84 °C) la cifra va de 9,97 a 19,34 millones; bajo Muy poco, muy tarde (+4,60 °C) alcanza de 17,91 a 27,54 millones (Cuadro 3, p.54); a modo de comparación, la COVID-19 dejó unos 11 millones de niños, niñas, adolescentes y jóvenes adicionales en pobreza (p.2).</w:t>
      </w:r>
    </w:p>
    <w:p>
      <w:pPr>
        <w:pStyle w:val="Compact"/>
        <w:numPr>
          <w:ilvl w:val="0"/>
          <w:numId w:val="1001"/>
        </w:numPr>
      </w:pPr>
      <w:r>
        <w:t xml:space="preserve">El financiamiento climático sensible a la niñez es solo el 3,4% del financiamiento climático multilateral recibido por la región (unos US$743 millones) y llega apenas a seis países de ALC, con distribución sectorial concentrada en educación y sin fondos para resiliencia de servicios de salud (p.14).</w:t>
      </w:r>
    </w:p>
    <w:p>
      <w:pPr>
        <w:pStyle w:val="Compact"/>
        <w:numPr>
          <w:ilvl w:val="0"/>
          <w:numId w:val="1001"/>
        </w:numPr>
      </w:pPr>
      <w:r>
        <w:t xml:space="preserve">Unos 94 millones de niños, niñas, adolescentes y jóvenes de la región son pobres: el 52% del total de personas en situación de pobreza, pese a representar solo el 39% de la población; 4 de cada 10 menores de 15 años están en pobreza (p.9).</w:t>
      </w:r>
    </w:p>
    <w:p>
      <w:pPr>
        <w:pStyle w:val="Compact"/>
        <w:numPr>
          <w:ilvl w:val="0"/>
          <w:numId w:val="1001"/>
        </w:numPr>
      </w:pPr>
      <w:r>
        <w:t xml:space="preserve">En todos los escenarios y países, más del 60% de los niños, niñas y adolescentes en situación de pobreza por el cambio climático tendrá menos de 15 años, y los impactos son mayores en los países que ya presentan más pobreza (p.36); el costo económico del excedente de pobreza equivale a entre 0,09% y 0,44% del PIB a 2030 (p.38).</w:t>
      </w:r>
    </w:p>
    <w:p>
      <w:pPr>
        <w:pStyle w:val="FirstParagraph"/>
      </w:pPr>
      <w:r>
        <w:rPr>
          <w:b/>
          <w:bCs/>
        </w:rPr>
        <w:t xml:space="preserve">Conclusiones y recomendaciones del documento:</w:t>
      </w:r>
    </w:p>
    <w:p>
      <w:pPr>
        <w:pStyle w:val="Compact"/>
        <w:numPr>
          <w:ilvl w:val="0"/>
          <w:numId w:val="1002"/>
        </w:numPr>
      </w:pPr>
      <w:r>
        <w:t xml:space="preserve">Una reducción ambiciosa y rápida de las emisiones de GEI a nivel global podría dividir por tres la cantidad de niños, niñas, adolescentes y jóvenes en situación de pobreza por cambio climático en 2030 (p.41); mantener el coeficiente de Gini en sus niveles actuales la reduce por un factor de entre 1,5 y 2,4 según el escenario (p.38).</w:t>
      </w:r>
    </w:p>
    <w:p>
      <w:pPr>
        <w:pStyle w:val="Compact"/>
        <w:numPr>
          <w:ilvl w:val="0"/>
          <w:numId w:val="1002"/>
        </w:numPr>
      </w:pPr>
      <w:r>
        <w:t xml:space="preserve">Se identifican cuatro grandes áreas de política pública (p.41-43): (1) aumentar la resiliencia climática de los servicios sociales y la infraestructura crítica, con énfasis en los primeros 1.000 días de vida; (2) aumentar el financiamiento climático sensible a la infancia; (3) fomentar protección social adaptativa y respuestas a emergencias con enfoque de niñez; (4) promover consciencia, educación y empoderamiento climático de niños, niñas, adolescentes y jóvenes, empezando por unas CDN sensibles a la niñez.</w:t>
      </w:r>
    </w:p>
    <w:p>
      <w:pPr>
        <w:pStyle w:val="Compact"/>
        <w:numPr>
          <w:ilvl w:val="0"/>
          <w:numId w:val="1002"/>
        </w:numPr>
      </w:pPr>
      <w:r>
        <w:t xml:space="preserve">Las cuatro áreas se dirigen íntegramente a proteger a la niñez del daño climático (protección social, financiamiento, educación); el documento no formula ninguna recomendación de transformación productiva o energética: la mitigación queda explícitamente delegada a la acción global y, prioritariamente, a los países y regiones con mayores niveles de emisión, dado que ALC emite menos del 10% de los GEI globales (p.34).</w:t>
      </w:r>
    </w:p>
    <w:p>
      <w:pPr>
        <w:pStyle w:val="FirstParagraph"/>
      </w:pPr>
      <w:r>
        <w:rPr>
          <w:b/>
          <w:bCs/>
        </w:rPr>
        <w:t xml:space="preserve">Resumen narrativo:</w:t>
      </w:r>
      <w:r>
        <w:t xml:space="preserve"> </w:t>
      </w:r>
      <w:r>
        <w:t xml:space="preserve">Este estudio conjunto UNICEF-CEPAL (LC/TS.2025/36, agosto de 2025) no toma el cambio climático como objeto de política propia sino como variable causal de un problema distributivo: cuantifica, combinando una elasticidad crecimiento-pobreza estimada sobre un panel de 18 países de CEPALSTAT (η = -1,41 a -1,58, altamente significativa, Cuadro 1, p.24) con tres escenarios de daño macroeconómico del NGFS, cuánta pobreza infantil y juvenil adicional generará el cambio climático hacia 2030. Su hallazgo central es que incluso el escenario más ambicioso de mitigación global (Net Zero 2050, +1,47 °C) deja a 5,9 millones de niños, niñas, adolescentes y jóvenes adicionales en pobreza, cifra que se triplica a 17,9 millones bajo inacción climática (Muy poco, muy tarde, +4,60 °C) y llega a 27,5 millones si además la desigualdad se profundiza con un Gini que empeora 1% anual (p.35). Como la región emite menos del 10% de los GEI globales, el documento delega explícitamente la mitigación en los grandes emisores (p.34) y concentra sus cuatro áreas de recomendación en proteger a la niñez del daño —resiliencia de servicios sociales, financiamiento climático sensible a la infancia, protección social adaptativa y empoderamiento climático (p.41-43)—, sin proponer reorientación productiva ni energética alguna. Esa naturaleza de diagnóstico proyectivo, con el clima como canal causal hacia la pobreza, explica su tipología: Reducción de la desigualdad (#2) como transformación primaria y Sostenibilidad ambiental (#6) como secundaria.</w:t>
      </w:r>
    </w:p>
    <w:bookmarkEnd w:id="11"/>
    <w:bookmarkStart w:id="25" w:name="X01380f1835e9aeb038bfc11c7ae26b1275c7cb0"/>
    <w:p>
      <w:pPr>
        <w:pStyle w:val="Heading2"/>
      </w:pPr>
      <w:r>
        <w:t xml:space="preserve">3. Resumen por secciones y dimensiones (nivel: apartado)</w:t>
      </w:r>
    </w:p>
    <w:p>
      <w:pPr>
        <w:pStyle w:val="FirstParagraph"/>
      </w:pPr>
      <w:r>
        <w:t xml:space="preserve">El documento tiene 5 secciones de primer nivel; las secciones 2, 3 y 5 se descomponen en sus subsecciones numeradas reales (las etiquetas de dimensión viven en las subsecciones, no en el padre).</w:t>
      </w:r>
    </w:p>
    <w:bookmarkStart w:id="12" w:name="X6dda11448c40b8859ae344976885973e2ce66be"/>
    <w:p>
      <w:pPr>
        <w:pStyle w:val="Heading3"/>
      </w:pPr>
      <w:r>
        <w:t xml:space="preserve">3.1 — 1. Introducción (páginas 5-17)</w:t>
      </w:r>
    </w:p>
    <w:p>
      <w:pPr>
        <w:pStyle w:val="FirstParagraph"/>
      </w:pPr>
      <w:r>
        <w:t xml:space="preserve">Motiva el estudio cruzando dos series de deterioro y cierra fijando su objetivo y alcance. Primero la pobreza: tras la bonanza de los 2000 (tasa regional del 44,1% en 2001 al 27,7% en 2014), el estancamiento y la COVID-19 revirtieron la tendencia (repunte por encima del 30% en 2020; 29% en 2022), con la particularidad de que desde 2014 la pobreza de los menores de 25 años crece más rápido que la general: 94 millones de niños, niñas, adolescentes y jóvenes pobres (52% del total de pobres siendo el 39% de la población) y 4 de cada 10 menores de 15 años en pobreza. Después el clima: temperaturas mensuales en ascenso sostenido en los últimos 30 años (anomalías que ya superan 1,5 °C en países del Caribe), desastres meteorológicos que pasaron de 5 por año en los sesenta a 30 por año a inicios de los 2020, y pérdidas económicas multiplicadas casi por diez (media de US$3.913 millones anuales en la década de 2010). Identifica tres factores de vulnerabilidad específica de la niñez (sensibilidad física, pobreza y falta de acceso a servicios, toda la vida por delante), con los primeros 1.000 días como periodo crítico, y documenta la brecha de respuesta: el financiamiento climático sensible a la niñez es solo el 3,4% del financiamiento climático multilateral recibido (unos US$743 millones, concentrado en seis países y en proyectos de educación). Suma la dimensión distributiva (Gini regional de 0,45 en 2022, la región más desigual del mundo; el 1% más rico concentra el 33% de la riqueza; redistribución limitada por una estructura fiscal basada en impuestos indirectos) y de género. Con ese marco, declara el objetivo —llenar el vacío de proyecciones calibradas del impacto del cambio climático en la pobreza infantil y juvenil—, describe la metodología en dos etapas y sus exclusiones (sin subida del nivel del mar ni puntos de inflexión), y anuncia la estructura del documento; su audiencia declarada son los hacedores de política pública.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Estado de situación</w:t>
            </w:r>
          </w:p>
        </w:tc>
        <w:tc>
          <w:tcPr/>
          <w:p>
            <w:pPr>
              <w:pStyle w:val="Compact"/>
            </w:pPr>
            <w:r>
              <w:t xml:space="preserve">"en la región unos 94 millones de niños, niñas, adolescentes y jóvenes son pobres (es decir, el 52 por ciento del total de pobres)"</w:t>
            </w:r>
          </w:p>
        </w:tc>
        <w:tc>
          <w:tcPr/>
          <w:p>
            <w:pPr>
              <w:pStyle w:val="Compact"/>
            </w:pPr>
            <w:r>
              <w:t xml:space="preserve">9</w:t>
            </w:r>
          </w:p>
        </w:tc>
      </w:tr>
      <w:tr>
        <w:tc>
          <w:tcPr/>
          <w:p>
            <w:pPr>
              <w:pStyle w:val="Compact"/>
            </w:pPr>
            <w:r>
              <w:t xml:space="preserve">Tendencias</w:t>
            </w:r>
          </w:p>
        </w:tc>
        <w:tc>
          <w:tcPr/>
          <w:p>
            <w:pPr>
              <w:pStyle w:val="Compact"/>
            </w:pPr>
            <w:r>
              <w:t xml:space="preserve">"Mientras que en la década de 1960 se reportaban en promedio 5 eventos por año, este número se ha disparado a más de 20 por año durante la década de 2010 e incluso alcanza 30 por año en los primeros años de la década de 2020"</w:t>
            </w:r>
          </w:p>
        </w:tc>
        <w:tc>
          <w:tcPr/>
          <w:p>
            <w:pPr>
              <w:pStyle w:val="Compact"/>
            </w:pPr>
            <w:r>
              <w:t xml:space="preserve">12</w:t>
            </w:r>
          </w:p>
        </w:tc>
      </w:tr>
      <w:tr>
        <w:tc>
          <w:tcPr/>
          <w:p>
            <w:pPr>
              <w:pStyle w:val="Compact"/>
            </w:pPr>
            <w:r>
              <w:t xml:space="preserve">Diagnóstico estructural</w:t>
            </w:r>
          </w:p>
        </w:tc>
        <w:tc>
          <w:tcPr/>
          <w:p>
            <w:pPr>
              <w:pStyle w:val="Compact"/>
            </w:pPr>
            <w:r>
              <w:t xml:space="preserve">"la efectividad de las políticas redistributivas se ve limitada por la estructura fiscal, enfocada principalmente en impuestos indirectos"</w:t>
            </w:r>
          </w:p>
        </w:tc>
        <w:tc>
          <w:tcPr/>
          <w:p>
            <w:pPr>
              <w:pStyle w:val="Compact"/>
            </w:pPr>
            <w:r>
              <w:t xml:space="preserve">14</w:t>
            </w:r>
          </w:p>
        </w:tc>
      </w:tr>
      <w:tr>
        <w:tc>
          <w:tcPr/>
          <w:p>
            <w:pPr>
              <w:pStyle w:val="Compact"/>
            </w:pPr>
            <w:r>
              <w:t xml:space="preserve">Desafíos</w:t>
            </w:r>
          </w:p>
        </w:tc>
        <w:tc>
          <w:tcPr/>
          <w:p>
            <w:pPr>
              <w:pStyle w:val="Compact"/>
            </w:pPr>
            <w:r>
              <w:t xml:space="preserve">"Las mujeres y las niñas suelen verse desproporcionadamente afectadas por fenómenos meteorológicos extremos en aspectos como el desempleo, la reinserción laboral, la pérdida relativa de activos o la deserción escolar"</w:t>
            </w:r>
          </w:p>
        </w:tc>
        <w:tc>
          <w:tcPr/>
          <w:p>
            <w:pPr>
              <w:pStyle w:val="Compact"/>
            </w:pPr>
            <w:r>
              <w:t xml:space="preserve">15</w:t>
            </w:r>
          </w:p>
        </w:tc>
      </w:tr>
    </w:tbl>
    <w:bookmarkEnd w:id="12"/>
    <w:bookmarkStart w:id="15" w:name="Xbc3539b22136f9d374286559f784419b781b9b8"/>
    <w:p>
      <w:pPr>
        <w:pStyle w:val="Heading3"/>
      </w:pPr>
      <w:r>
        <w:t xml:space="preserve">3.2 — 2. Marco conceptual y metodología (páginas 18-28)</w:t>
      </w:r>
    </w:p>
    <w:p>
      <w:pPr>
        <w:pStyle w:val="FirstParagraph"/>
      </w:pPr>
      <w:r>
        <w:t xml:space="preserve">Construye la maquinaria del estudio en dos etapas: una relación econométrica crecimiento-pobreza con la desigualdad como modulador (2.1) y una estimación del daño macroeconómico del cambio climático (2.2), que combinadas permiten proyectar tasas de pobreza infantil y juvenil a 2030.</w:t>
      </w:r>
    </w:p>
    <w:bookmarkStart w:id="13" w:name="X69889c937700aa4176031332f007550a7c155c3"/>
    <w:p>
      <w:pPr>
        <w:pStyle w:val="Heading4"/>
      </w:pPr>
      <w:r>
        <w:t xml:space="preserve">2.1. La relación crecimiento y pobreza infantil y juvenil (páginas 21-26)</w:t>
      </w:r>
    </w:p>
    <w:p>
      <w:pPr>
        <w:pStyle w:val="FirstParagraph"/>
      </w:pPr>
      <w:r>
        <w:t xml:space="preserve">Fundamenta y estima el primer eslabón del modelo. Justifica proyectar pobreza con el crecimiento del PIB per cápita (práctica del Banco Mundial y UNICEF; los mecanismos son empleo, ingresos y recursos públicos para gasto social) e incorpora, siguiendo a Ravallion y a Lakner y otros, la variación del Gini porque una mayor desigualdad deteriora el poder del crecimiento para reducir pobreza. La ecuación Δp = ηΔy + γΔgini, estimada sobre 267 observaciones de 18 países 2000-2022 de CEPALSTAT, arroja η = -1,41*** (OLS) / -1,58*** (efectos fijos por país y año) y coeficiente del Gini positivo y significativo (1,22/1,13; Cuadro 1, p.24). La validación retrospectiva muestra que el 50% de los pronósticos cae a ±1 punto porcentual de la tasa medida por encuestas (p.25). Documenta además una regularidad clave para la proyección: la proporción de niños, niñas, adolescentes y jóvenes en el total de pobres es muy estable (entre 53% y 63% en el 90% de los casos, media 58%), lo que permite extrapolarla a 2030. Cierra definiendo las dos trayectorias de desigualdad: Gini constante (las políticas contrarrestan las presiones climáticas) y Gini +1% anual, calibrado en el percentil 5 de más de 8.000 episodios de crecimiento analizados por Lakner y otros (2020) — poco frecuente pero plausible.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"una mayor desigualdad deteriora el poder del crecimiento económico para reducir la pobreza"</w:t>
            </w:r>
          </w:p>
        </w:tc>
        <w:tc>
          <w:tcPr/>
          <w:p>
            <w:pPr>
              <w:pStyle w:val="Compact"/>
            </w:pPr>
            <w:r>
              <w:t xml:space="preserve">21</w:t>
            </w:r>
          </w:p>
        </w:tc>
      </w:tr>
      <w:tr>
        <w:tc>
          <w:tcPr/>
          <w:p>
            <w:pPr>
              <w:pStyle w:val="Compact"/>
            </w:pPr>
            <w:r>
              <w:t xml:space="preserve">Tendencias</w:t>
            </w:r>
          </w:p>
        </w:tc>
        <w:tc>
          <w:tcPr/>
          <w:p>
            <w:pPr>
              <w:pStyle w:val="Compact"/>
            </w:pPr>
            <w:r>
              <w:t xml:space="preserve">"en el 90 por ciento de los casos los niños, niñas, adolescentes y jóvenes representan entre el 53 por ciento y el 63 por ciento del total de los pobres"</w:t>
            </w:r>
          </w:p>
        </w:tc>
        <w:tc>
          <w:tcPr/>
          <w:p>
            <w:pPr>
              <w:pStyle w:val="Compact"/>
            </w:pPr>
            <w:r>
              <w:t xml:space="preserve">25</w:t>
            </w:r>
          </w:p>
        </w:tc>
      </w:tr>
    </w:tbl>
    <w:bookmarkEnd w:id="13"/>
    <w:bookmarkStart w:id="14" w:name="Xb3545e3e65318ffed1928de170bd877a31863bf"/>
    <w:p>
      <w:pPr>
        <w:pStyle w:val="Heading4"/>
      </w:pPr>
      <w:r>
        <w:t xml:space="preserve">2.2. El impacto del cambio climático para el crecimiento económico (páginas 27-28)</w:t>
      </w:r>
    </w:p>
    <w:p>
      <w:pPr>
        <w:pStyle w:val="FirstParagraph"/>
      </w:pPr>
      <w:r>
        <w:t xml:space="preserve">Construye el segundo eslabón: el daño del cambio climático al PIB. Los riesgos crónicos (aumento tendencial de temperaturas) se estiman con funciones de daño econométricas —Kalkuhl y Wenz (2020) con el percentil 95 de las proyecciones de temperatura para Net Zero 2050 y Políticas actuales; la especificación no lineal de Burke, Hsiang y Miguel (2015) para Muy poco, muy tarde—. Los riesgos agudos (sequías, olas de calor, inundaciones y ciclones tropicales) se estiman con modelos de riesgos naturales que traducen pérdidas físicas en choques macroeconómicos. El impacto se computa como la diferencia entre el PIB de un escenario contrafactual sin cambio climático (promedio de tres modelos macroeconómicos de la fase IV del NGFS) y el PIB bajo cada escenario climático. Reconoce limitaciones explícitas que sesgan las estimaciones a la baja: no incorpora la subida del nivel del mar, la propagación de enfermedades por vectores, los riesgos de transición ni los puntos de inflexión del sistema terrestre (deshielo del Ártico, debilitamiento de la AMOC, sequía del Amazonas).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"Los riesgos físicos que genera el cambio climático para la actividad económica suelen ser cuantificados distinguiendo dos tipos de impactos: (i) los impactos crónicos asociados a aumentos graduales en temperaturas, precipitaciones u otros indicadores climáticos y (ii) los impactos agudos asociados a eventos meteorológicos extremos más frecuentes"</w:t>
            </w:r>
          </w:p>
        </w:tc>
        <w:tc>
          <w:tcPr/>
          <w:p>
            <w:pPr>
              <w:pStyle w:val="Compact"/>
            </w:pPr>
            <w:r>
              <w:t xml:space="preserve">27</w:t>
            </w:r>
          </w:p>
        </w:tc>
      </w:tr>
      <w:tr>
        <w:tc>
          <w:tcPr/>
          <w:p>
            <w:pPr>
              <w:pStyle w:val="Compact"/>
            </w:pPr>
            <w:r>
              <w:t xml:space="preserve">Desafíos</w:t>
            </w:r>
          </w:p>
        </w:tc>
        <w:tc>
          <w:tcPr/>
          <w:p>
            <w:pPr>
              <w:pStyle w:val="Compact"/>
            </w:pPr>
            <w:r>
              <w:t xml:space="preserve">"las proyecciones usadas no consideran la materialización de algunos puntos de inflexión en el sistema terrestre (…) que podrían provocar cambios abruptos en el sistema climático"</w:t>
            </w:r>
          </w:p>
        </w:tc>
        <w:tc>
          <w:tcPr/>
          <w:p>
            <w:pPr>
              <w:pStyle w:val="Compact"/>
            </w:pPr>
            <w:r>
              <w:t xml:space="preserve">28</w:t>
            </w:r>
          </w:p>
        </w:tc>
      </w:tr>
    </w:tbl>
    <w:bookmarkEnd w:id="14"/>
    <w:bookmarkEnd w:id="15"/>
    <w:bookmarkStart w:id="18" w:name="X79c484cd83a7a1bd809444ba4d00ca3c31aacad"/>
    <w:p>
      <w:pPr>
        <w:pStyle w:val="Heading3"/>
      </w:pPr>
      <w:r>
        <w:t xml:space="preserve">3.3 — 3. Resultados (páginas 29-38)</w:t>
      </w:r>
    </w:p>
    <w:p>
      <w:pPr>
        <w:pStyle w:val="FirstParagraph"/>
      </w:pPr>
      <w:r>
        <w:t xml:space="preserve">Presenta los resultados en dos pasos: primero el daño macroeconómico del cambio climático bajo cada escenario (3.1) y luego su traducción a pobreza infantil y juvenil en 2030 (3.2), que es el hallazgo central del estudio.</w:t>
      </w:r>
    </w:p>
    <w:bookmarkStart w:id="16" w:name="X63ec7bb279f485e1587655f17bef95464f1cdce"/>
    <w:p>
      <w:pPr>
        <w:pStyle w:val="Heading4"/>
      </w:pPr>
      <w:r>
        <w:t xml:space="preserve">3.1. El impacto económico del cambio climático bajo diferentes escenarios (páginas 31-33)</w:t>
      </w:r>
    </w:p>
    <w:p>
      <w:pPr>
        <w:pStyle w:val="FirstParagraph"/>
      </w:pPr>
      <w:r>
        <w:t xml:space="preserve">Caracteriza los tres escenarios globales de emisiones —Net Zero 2050 (cero neto de CO2 hacia 2050, calentamiento limitado a 1,4 °C), Políticas actuales (CDN efectivamente implementadas, ~2,9 °C) y Muy poco, muy tarde (consistente con RCP 8.5, más de 4 °C)— y sus consecuencias para América Latina: aumentos de temperatura regional de entre 1,5 °C y más de 4,5 °C a fin de siglo. Cuantifica el daño: en 2030 el PIB per cápita regional se situaría entre 5% y 12% por debajo del escenario sin cambio climático, y en 2050 entre 15% y 24% salvo en Net Zero 2050 (-6,4%), con los impactos crónicos por temperatura y las sequías como componentes de mayor peso. La población de cada escenario se proyecta con las trayectorias SSP 1, 2 y 5, respectivamente.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"Net Zero 2050: este escenario describe un futuro en el que se implementan políticas de reducción de emisiones de GEI más ambiciosas y estrictas que las que están actualmente en vigor"</w:t>
            </w:r>
          </w:p>
        </w:tc>
        <w:tc>
          <w:tcPr/>
          <w:p>
            <w:pPr>
              <w:pStyle w:val="Compact"/>
            </w:pPr>
            <w:r>
              <w:t xml:space="preserve">31</w:t>
            </w:r>
          </w:p>
        </w:tc>
      </w:tr>
      <w:tr>
        <w:tc>
          <w:tcPr/>
          <w:p>
            <w:pPr>
              <w:pStyle w:val="Compact"/>
            </w:pPr>
            <w:r>
              <w:t xml:space="preserve">Estado de situación</w:t>
            </w:r>
          </w:p>
        </w:tc>
        <w:tc>
          <w:tcPr/>
          <w:p>
            <w:pPr>
              <w:pStyle w:val="Compact"/>
            </w:pPr>
            <w:r>
              <w:t xml:space="preserve">"En 2030, dependiendo del escenario climático considerado, el PIB per cápita de la región podría situarse entre 5 y 12 por ciento por debajo del escenario sin cambio climático"</w:t>
            </w:r>
          </w:p>
        </w:tc>
        <w:tc>
          <w:tcPr/>
          <w:p>
            <w:pPr>
              <w:pStyle w:val="Compact"/>
            </w:pPr>
            <w:r>
              <w:t xml:space="preserve">33</w:t>
            </w:r>
          </w:p>
        </w:tc>
      </w:tr>
      <w:tr>
        <w:tc>
          <w:tcPr/>
          <w:p>
            <w:pPr>
              <w:pStyle w:val="Compact"/>
            </w:pPr>
            <w:r>
              <w:t xml:space="preserve">Tendencias</w:t>
            </w:r>
          </w:p>
        </w:tc>
        <w:tc>
          <w:tcPr/>
          <w:p>
            <w:pPr>
              <w:pStyle w:val="Compact"/>
            </w:pPr>
            <w:r>
              <w:t xml:space="preserve">"El PIB per cápita podría estar entre un 15 por ciento y un 24 por ciento por debajo de su nivel en el escenario sin cambio climático"</w:t>
            </w:r>
          </w:p>
        </w:tc>
        <w:tc>
          <w:tcPr/>
          <w:p>
            <w:pPr>
              <w:pStyle w:val="Compact"/>
            </w:pPr>
            <w:r>
              <w:t xml:space="preserve">33</w:t>
            </w:r>
          </w:p>
        </w:tc>
      </w:tr>
    </w:tbl>
    <w:bookmarkEnd w:id="16"/>
    <w:bookmarkStart w:id="17" w:name="X1701f86ef860e28a047e8837ddc6df5218e6540"/>
    <w:p>
      <w:pPr>
        <w:pStyle w:val="Heading4"/>
      </w:pPr>
      <w:r>
        <w:t xml:space="preserve">3.2. El impacto del cambio climático en la pobreza infantil y juvenil (páginas 34-38)</w:t>
      </w:r>
    </w:p>
    <w:p>
      <w:pPr>
        <w:pStyle w:val="FirstParagraph"/>
      </w:pPr>
      <w:r>
        <w:t xml:space="preserve">Entrega el resultado central: en 2030 habría 5,9 (Net Zero 2050), 9,97 (Políticas actuales) o 17,9 (Muy poco, muy tarde) millones de niños, niñas, adolescentes y jóvenes adicionales en pobreza si el Gini no cambia, cifras que aproximadamente se duplican (14,8 / 19,3 / 27,5 millones) si la desigualdad empeora 1% anual — un aumento de entre 7% y 34% frente al escenario sin cambio climático, y en el peor caso más del triple del efecto de la COVID-19, con la diferencia de que el daño climático no es reversible sino creciente después de 2030. Precisa el reparto de responsabilidades: como ALC emite menos del 10% de los GEI globales, el escenario depende de los grandes emisores, mientras que las políticas nacionales (sociales y redistributivas que sostengan el Gini) determinan la mitad evitable del impacto, reduciéndolo por factores de 1,5 a 2,4. En todos los escenarios y países, más del 60% de los afectados tendrá menos de 15 años, y el impacto es mayor donde la pobreza ya es alta. Cierra monetizando el excedente de pobreza infantil y adolescente en entre 0,09% y 0,44% del PIB a 2030 y advirtiendo que impactos de esta magnitud difícilmente se atiendan con reformas marginales sin presiones sociales.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Estado de situación</w:t>
            </w:r>
          </w:p>
        </w:tc>
        <w:tc>
          <w:tcPr/>
          <w:p>
            <w:pPr>
              <w:pStyle w:val="Compact"/>
            </w:pPr>
            <w:r>
              <w:t xml:space="preserve">"En el escenario Net Zero 2050, se estima que, en 2030, 5.9 millones adicionales de niños, niñas, adolescentes y jóvenes, aproximadamente, podrían encontrarse en situación de pobreza por el cambio climático"</w:t>
            </w:r>
          </w:p>
        </w:tc>
        <w:tc>
          <w:tcPr/>
          <w:p>
            <w:pPr>
              <w:pStyle w:val="Compact"/>
            </w:pPr>
            <w:r>
              <w:t xml:space="preserve">34</w:t>
            </w:r>
          </w:p>
        </w:tc>
      </w:tr>
      <w:tr>
        <w:tc>
          <w:tcPr/>
          <w:p>
            <w:pPr>
              <w:pStyle w:val="Compact"/>
            </w:pPr>
            <w:r>
              <w:t xml:space="preserve">Tendencias</w:t>
            </w:r>
          </w:p>
        </w:tc>
        <w:tc>
          <w:tcPr/>
          <w:p>
            <w:pPr>
              <w:pStyle w:val="Compact"/>
            </w:pPr>
            <w:r>
              <w:t xml:space="preserve">"más del 60 por ciento de los niños, niñas y adolescentes en situación de pobreza por los efectos del cambio climático tendrá menos de 15 años"</w:t>
            </w:r>
          </w:p>
        </w:tc>
        <w:tc>
          <w:tcPr/>
          <w:p>
            <w:pPr>
              <w:pStyle w:val="Compact"/>
            </w:pPr>
            <w:r>
              <w:t xml:space="preserve">36</w:t>
            </w:r>
          </w:p>
        </w:tc>
      </w:tr>
      <w:tr>
        <w:tc>
          <w:tcPr/>
          <w:p>
            <w:pPr>
              <w:pStyle w:val="Compact"/>
            </w:pPr>
            <w:r>
              <w:t xml:space="preserve">Diagnóstico estructural</w:t>
            </w:r>
          </w:p>
        </w:tc>
        <w:tc>
          <w:tcPr/>
          <w:p>
            <w:pPr>
              <w:pStyle w:val="Compact"/>
            </w:pPr>
            <w:r>
              <w:t xml:space="preserve">"los impactos del cambio climático en la pobreza infantil y juvenil son mayores en los países que presentan niveles más altos de pobreza en la actualidad"</w:t>
            </w:r>
          </w:p>
        </w:tc>
        <w:tc>
          <w:tcPr/>
          <w:p>
            <w:pPr>
              <w:pStyle w:val="Compact"/>
            </w:pPr>
            <w:r>
              <w:t xml:space="preserve">36</w:t>
            </w:r>
          </w:p>
        </w:tc>
      </w:tr>
      <w:tr>
        <w:tc>
          <w:tcPr/>
          <w:p>
            <w:pPr>
              <w:pStyle w:val="Compact"/>
            </w:pPr>
            <w:r>
              <w:t xml:space="preserve">Desafíos</w:t>
            </w:r>
          </w:p>
        </w:tc>
        <w:tc>
          <w:tcPr/>
          <w:p>
            <w:pPr>
              <w:pStyle w:val="Compact"/>
            </w:pPr>
            <w:r>
              <w:t xml:space="preserve">"Resulta difícil imaginar que impactos de esta magnitud puedan ser atendidos con reformas marginales o sin que se generen fuertes presiones sociales y posibles conflictos"</w:t>
            </w:r>
          </w:p>
        </w:tc>
        <w:tc>
          <w:tcPr/>
          <w:p>
            <w:pPr>
              <w:pStyle w:val="Compact"/>
            </w:pPr>
            <w:r>
              <w:t xml:space="preserve">37</w:t>
            </w:r>
          </w:p>
        </w:tc>
      </w:tr>
    </w:tbl>
    <w:bookmarkEnd w:id="17"/>
    <w:bookmarkEnd w:id="18"/>
    <w:bookmarkStart w:id="19" w:name="X35a8169b231a46d14d2fa1f88b79f8f9428fc24"/>
    <w:p>
      <w:pPr>
        <w:pStyle w:val="Heading3"/>
      </w:pPr>
      <w:r>
        <w:t xml:space="preserve">3.4 — 4. Conclusiones y recomendaciones de política pública (páginas 39-43)</w:t>
      </w:r>
    </w:p>
    <w:p>
      <w:pPr>
        <w:pStyle w:val="FirstParagraph"/>
      </w:pPr>
      <w:r>
        <w:t xml:space="preserve">Convierte el diagnóstico cuantitativo en agenda de política de protección de la niñez. Recapitula que una mitigación global ambiciosa dividiría por tres la pobreza infantil y juvenil adicional de 2030 y que evitar el deterioro del Gini la reduce a la mitad, y propone como punto de partida unas CDN sensibles a la niñez. Desarrolla las cuatro grandes áreas de política: (1) resiliencia climática de servicios sociales e infraestructura crítica, con programas combinados de salud, nutrición y cuidado temprano centrados en los primeros 1.000 días, escuelas resistentes al clima y agua y saneamiento; (2) financiamiento climático sensible a la infancia, con recursos para pérdidas y daños, mecanismos de evaluación con datos desagregados por edad y sexo, y coordinación entre sector privado, fondos multilaterales, instituciones financieras y ministerios; (3) protección social adaptativa y respuesta a emergencias, incluyendo sistemas responsivos a desastres, un fondo de emergencia para familias con niños pequeños y protocolos adecuados a la niñez; (4) consciencia, educación y empoderamiento climático, apoyando los movimientos climáticos liderados por la propia niñez e incorporando educación ambiental a los currículos. Cierra con el argumento de equidad intergeneracional: la inacción climática compromete el futuro de generaciones que no participaron en las decisiones.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Propuestas de política</w:t>
            </w:r>
          </w:p>
        </w:tc>
        <w:tc>
          <w:tcPr/>
          <w:p>
            <w:pPr>
              <w:pStyle w:val="Compact"/>
            </w:pPr>
            <w:r>
              <w:t xml:space="preserve">"se pueden identificar cuatro grandes áreas de políticas para mitigar los efectos del cambio climático en la pobreza infantil y juvenil"</w:t>
            </w:r>
          </w:p>
        </w:tc>
        <w:tc>
          <w:tcPr/>
          <w:p>
            <w:pPr>
              <w:pStyle w:val="Compact"/>
            </w:pPr>
            <w:r>
              <w:t xml:space="preserve">41</w:t>
            </w:r>
          </w:p>
        </w:tc>
      </w:tr>
      <w:tr>
        <w:tc>
          <w:tcPr/>
          <w:p>
            <w:pPr>
              <w:pStyle w:val="Compact"/>
            </w:pPr>
            <w:r>
              <w:t xml:space="preserve">Oportunidades</w:t>
            </w:r>
          </w:p>
        </w:tc>
        <w:tc>
          <w:tcPr/>
          <w:p>
            <w:pPr>
              <w:pStyle w:val="Compact"/>
            </w:pPr>
            <w:r>
              <w:t xml:space="preserve">"también tienen ideas novedosas e iniciativas que contribuyen a aumentar la resiliencia de sus familias, comunidades y países. A nivel local, regional y mundial, la niñez, la adolescencia y la juventud están liderando movimientos climáticos que exigen a los Gobiernos que tomen medidas urgentes para un futuro más seguro y resiliente"</w:t>
            </w:r>
          </w:p>
        </w:tc>
        <w:tc>
          <w:tcPr/>
          <w:p>
            <w:pPr>
              <w:pStyle w:val="Compact"/>
            </w:pPr>
            <w:r>
              <w:t xml:space="preserve">43</w:t>
            </w:r>
          </w:p>
        </w:tc>
      </w:tr>
    </w:tbl>
    <w:bookmarkEnd w:id="19"/>
    <w:bookmarkStart w:id="24" w:name="X0d851842b80a81dd0df0830f3119b3a2bf29344"/>
    <w:p>
      <w:pPr>
        <w:pStyle w:val="Heading3"/>
      </w:pPr>
      <w:r>
        <w:t xml:space="preserve">3.5 — 5. Anexos (páginas 44-54)</w:t>
      </w:r>
    </w:p>
    <w:p>
      <w:pPr>
        <w:pStyle w:val="FirstParagraph"/>
      </w:pPr>
      <w:r>
        <w:rPr>
          <w:i/>
          <w:iCs/>
        </w:rPr>
        <w:t xml:space="preserve">(Procesado como excepción histórica del piloto; ver nota al inicio de esta ficha.)</w:t>
      </w:r>
      <w:r>
        <w:t xml:space="preserve"> </w:t>
      </w:r>
      <w:r>
        <w:t xml:space="preserve">Documenta las decisiones técnicas que sostienen los resultados: fuente y armonización de los datos de pobreza (5.1), robustez de la elasticidad crecimiento-pobreza (5.2), modelización de los daños climáticos al PIB (5.3) y procedimiento de proyección de las tasas de pobreza a 2030 (5.4).</w:t>
      </w:r>
    </w:p>
    <w:bookmarkStart w:id="20" w:name="X776c83563412d7fb8ce86343bd630f5295fd078"/>
    <w:p>
      <w:pPr>
        <w:pStyle w:val="Heading4"/>
      </w:pPr>
      <w:r>
        <w:t xml:space="preserve">5.1. Datos de pobreza (páginas 46-47)</w:t>
      </w:r>
    </w:p>
    <w:p>
      <w:pPr>
        <w:pStyle w:val="FirstParagraph"/>
      </w:pPr>
      <w:r>
        <w:t xml:space="preserve">Explicita la base de pobreza: 18 países que representan cerca del 95% de la población de los 33 Estados miembros de la CEPAL en ALC, con tasas calculadas según el costo de canastas básicas y ampliadas diferenciadas por país y por área urbana/rural, armonizadas con la metodología CEPAL (2018). Justifica preferir esas cifras sobre las líneas internacionales de pobreza en dólares PPA ($2.15, $3.65, $6.85): al no reflejar el costo de vida nacional, las líneas internacionales generan discrepancias e inconsistencias para los países de la región, ilustradas comparando ambas medidas país por país (Gráfica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"Al no reflejar el costo de vida ni las particularidades de cada país, estas líneas internacionales suelen llevar a discrepancias con las cifras nacionales de los países de América Latina"</w:t>
            </w:r>
          </w:p>
        </w:tc>
        <w:tc>
          <w:tcPr/>
          <w:p>
            <w:pPr>
              <w:pStyle w:val="Compact"/>
            </w:pPr>
            <w:r>
              <w:t xml:space="preserve">47</w:t>
            </w:r>
          </w:p>
        </w:tc>
      </w:tr>
    </w:tbl>
    <w:bookmarkEnd w:id="20"/>
    <w:bookmarkStart w:id="21" w:name="Xfafc86e8d37040d89c355337bd691726401c81f"/>
    <w:p>
      <w:pPr>
        <w:pStyle w:val="Heading4"/>
      </w:pPr>
      <w:r>
        <w:t xml:space="preserve">5.2. Relación pobreza-crecimiento económico (página 48)</w:t>
      </w:r>
    </w:p>
    <w:p>
      <w:pPr>
        <w:pStyle w:val="FirstParagraph"/>
      </w:pPr>
      <w:r>
        <w:t xml:space="preserve">Prueba de robustez de la elasticidad: re-estima la ecuación (1) con el PIB per cápita del World Development Indicators del Banco Mundial (dólares constantes de 2010) y obtiene coeficientes de magnitud similar y altamente significativos (-1,76 OLS / -1,84 efectos fijos, Cuadro 2), lo que respalda el modelo del texto principal. Se conserva la especificación con datos de CEPALSTAT por consistencia con el año base usado para proyectar el PIB a 2030, y se descarta el término de interacción con el Gini inicial propuesto por Ravallion (2004) porque reduce fuertemente el R².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"En todos los casos, los coeficientes de interés son altamente significativos y de una magnitud similar"</w:t>
            </w:r>
          </w:p>
        </w:tc>
        <w:tc>
          <w:tcPr/>
          <w:p>
            <w:pPr>
              <w:pStyle w:val="Compact"/>
            </w:pPr>
            <w:r>
              <w:t xml:space="preserve">48</w:t>
            </w:r>
          </w:p>
        </w:tc>
      </w:tr>
    </w:tbl>
    <w:bookmarkEnd w:id="21"/>
    <w:bookmarkStart w:id="22" w:name="X2d26ac7228c8f9185f662ce4a7fe0d973da98ff"/>
    <w:p>
      <w:pPr>
        <w:pStyle w:val="Heading4"/>
      </w:pPr>
      <w:r>
        <w:t xml:space="preserve">5.3. Modelación de los impactos del cambio climático sobre el PIB (páginas 49-50)</w:t>
      </w:r>
    </w:p>
    <w:p>
      <w:pPr>
        <w:pStyle w:val="FirstParagraph"/>
      </w:pPr>
      <w:r>
        <w:t xml:space="preserve">Detalla la ingeniería de los daños: una función de daños agregada no lineal en temperatura para los riesgos crónicos, y para los cuatro riesgos agudos canales de transmisión específicos — sequía vía el indicador SPEI y funciones de vulnerabilidad rendimiento-sequía sobre cultivos; olas de calor vía choques de productividad laboral; inundaciones vía daños al stock de capital y primas de inversión; ciclones tropicales vía el modelo probabilístico CLIMADA —, todos integrados al modelo macroeconómico NiGEM sobre la modelización realizada por Climate Analytics en la fase IV del NGFS. Advierte una limitación fuerte: los riesgos agudos solo están desagregados para México, Brasil, Chile y Argentina; a los otros 14 países se les imputa la desviación porcentual del bloque regional agregado.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"Esta modelación ha sido realizada por Climate Analytics en el marco de la fase IV del NGFS (NGFS, 2023b) y este estudio se basa en estos resultados"</w:t>
            </w:r>
          </w:p>
        </w:tc>
        <w:tc>
          <w:tcPr/>
          <w:p>
            <w:pPr>
              <w:pStyle w:val="Compact"/>
            </w:pPr>
            <w:r>
              <w:t xml:space="preserve">49</w:t>
            </w:r>
          </w:p>
        </w:tc>
      </w:tr>
      <w:tr>
        <w:tc>
          <w:tcPr/>
          <w:p>
            <w:pPr>
              <w:pStyle w:val="Compact"/>
            </w:pPr>
            <w:r>
              <w:t xml:space="preserve">Desafíos</w:t>
            </w:r>
          </w:p>
        </w:tc>
        <w:tc>
          <w:tcPr/>
          <w:p>
            <w:pPr>
              <w:pStyle w:val="Compact"/>
            </w:pPr>
            <w:r>
              <w:t xml:space="preserve">"Esto representa una fuerte limitación metodológica que podría ser mejorada en próximas iteraciones si se disponen de estimaciones con mayor nivel de desagregación geográfica"</w:t>
            </w:r>
          </w:p>
        </w:tc>
        <w:tc>
          <w:tcPr/>
          <w:p>
            <w:pPr>
              <w:pStyle w:val="Compact"/>
            </w:pPr>
            <w:r>
              <w:t xml:space="preserve">50</w:t>
            </w:r>
          </w:p>
        </w:tc>
      </w:tr>
    </w:tbl>
    <w:bookmarkEnd w:id="22"/>
    <w:bookmarkStart w:id="23" w:name="Xc024013a29c6855eea225be8f37fa4bba35cd34"/>
    <w:p>
      <w:pPr>
        <w:pStyle w:val="Heading4"/>
      </w:pPr>
      <w:r>
        <w:t xml:space="preserve">5.4. Inferir la tasa de pobreza infantil y juvenil en 2030 (páginas 51-54)</w:t>
      </w:r>
    </w:p>
    <w:p>
      <w:pPr>
        <w:pStyle w:val="FirstParagraph"/>
      </w:pPr>
      <w:r>
        <w:t xml:space="preserve">Describe el procedimiento de proyección: desde la última tasa de pobreza disponible por país se aplican las variaciones inferidas del PIB per cápita bajo cada escenario, con la población proyectada por la SSP correspondiente. En el contrafactual sin cambio climático, un crecimiento regional promedio de 2,4% anual reduciría la pobreza del 24,4% (2022) al 21,4% (2030); con cambio climático la tasa regional quedaría entre 23% y 26,1% si el Gini se mantiene, y entre 25,3% y 28,7% si empeora 1% anual. Presenta los resultados por país (Gráfica 17), donde los países con mayores tasas de pobreza muestran los rangos proyectados más amplios, y sintetiza todas las variables por escenario en el Cuadro 3 (p.54).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Tendencias</w:t>
            </w:r>
          </w:p>
        </w:tc>
        <w:tc>
          <w:tcPr/>
          <w:p>
            <w:pPr>
              <w:pStyle w:val="Compact"/>
            </w:pPr>
            <w:r>
              <w:t xml:space="preserve">"se prevé que entre 2022 y 2030 el PIB regional crezca en promedio un 2,4 por ciento anual, lo cual se traduciría en una reducción de la tasa de pobreza regional del 24,4 por ciento estimado en 2022 al 21,4 por ciento en 2030"</w:t>
            </w:r>
          </w:p>
        </w:tc>
        <w:tc>
          <w:tcPr/>
          <w:p>
            <w:pPr>
              <w:pStyle w:val="Compact"/>
            </w:pPr>
            <w:r>
              <w:t xml:space="preserve">52</w:t>
            </w:r>
          </w:p>
        </w:tc>
      </w:tr>
      <w:tr>
        <w:tc>
          <w:tcPr/>
          <w:p>
            <w:pPr>
              <w:pStyle w:val="Compact"/>
            </w:pPr>
            <w:r>
              <w:t xml:space="preserve">Estado de situación</w:t>
            </w:r>
          </w:p>
        </w:tc>
        <w:tc>
          <w:tcPr/>
          <w:p>
            <w:pPr>
              <w:pStyle w:val="Compact"/>
            </w:pPr>
            <w:r>
              <w:t xml:space="preserve">"las tasas de pobrezas regionales podrían estar entre un 25,3 por ciento (escenario Net Zero 2050) y un 28,7 por ciento (escenario Muy poco, muy tarde) en 2030"</w:t>
            </w:r>
          </w:p>
        </w:tc>
        <w:tc>
          <w:tcPr/>
          <w:p>
            <w:pPr>
              <w:pStyle w:val="Compact"/>
            </w:pPr>
            <w:r>
              <w:t xml:space="preserve">52</w:t>
            </w:r>
          </w:p>
        </w:tc>
      </w:tr>
    </w:tbl>
    <w:bookmarkEnd w:id="23"/>
    <w:bookmarkEnd w:id="24"/>
    <w:bookmarkEnd w:id="25"/>
    <w:bookmarkStart w:id="30" w:name="X2192199725c80765cce938f59639f7854a5c5d3"/>
    <w:p>
      <w:pPr>
        <w:pStyle w:val="Heading2"/>
      </w:pPr>
      <w:r>
        <w:t xml:space="preserve">4. Interpelación institucional (nivel: documento completo)</w:t>
      </w:r>
    </w:p>
    <w:bookmarkStart w:id="26" w:name="Xd1e55af21fb079e13e9b1d8c1b6742ca3b37edf"/>
    <w:p>
      <w:pPr>
        <w:pStyle w:val="Heading3"/>
      </w:pPr>
      <w:r>
        <w:t xml:space="preserve">Criterio i — ¿Promueve el gran impulso ambiental con elementos concretos? →</w:t>
      </w:r>
      <w:r>
        <w:t xml:space="preserve"> </w:t>
      </w:r>
      <w:r>
        <w:rPr>
          <w:b/>
          <w:bCs/>
        </w:rPr>
        <w:t xml:space="preserve">No</w:t>
      </w:r>
    </w:p>
    <w:p>
      <w:pPr>
        <w:pStyle w:val="FirstParagraph"/>
      </w:pPr>
      <w:r>
        <w:rPr>
          <w:b/>
          <w:bCs/>
        </w:rPr>
        <w:t xml:space="preserve">Razonamiento:</w:t>
      </w:r>
      <w:r>
        <w:t xml:space="preserve"> </w:t>
      </w:r>
      <w:r>
        <w:t xml:space="preserve">Evaluado contra las tres pruebas derivadas de</w:t>
      </w:r>
      <w:r>
        <w:t xml:space="preserve"> </w:t>
      </w:r>
      <w:r>
        <w:rPr>
          <w:i/>
          <w:iCs/>
        </w:rPr>
        <w:t xml:space="preserve">Horizontes 2030</w:t>
      </w:r>
      <w:r>
        <w:t xml:space="preserve">. Prueba 1 — inversión masiva y coordinada: negativo; el documento no propone ningún paquete coordinado de inversiones o políticas simultáneas: el cambio climático entra como variable exógena (los tres escenarios globales de GEI del NGFS) y el propio texto delega la mitigación en los esfuerzos globales y en los países de mayor emisión, dado que ALC aporta menos del 10% de las emisiones (p.34). Prueba 2 — sectores estratégicos nombrados: negativo; no aparecen transición energética, electromovilidad, bioeconomía, economía circular ni salud/cuidados como propuesta con instrumento; la única infraestructura recomendada (escuelas resistentes al clima, agua y saneamiento, p.42) es adaptación de servicios sociales, no transformación productiva. Prueba 3 — las tres eficiencias: negativo; no hay eficiencia tecnológica (ninguna propuesta de incorporación de tecnología en procesos productivos), la eficiencia ambiental aparece solo como mitigación exógena a cargo de terceros, y la dimensión de empleo/desigualdad opera como canal de daño (clima → PIB → pobreza), no como palanca de una propuesta de inversión. Chequeo negativo explícito: se buscaron en las cinco secciones y anexos menciones a reorientación de inversiones, sectores productivos sostenibles o instrumentos de transformación productiva y no se encontró ninguna; la única alusión a la transición baja en carbono es una advertencia sobre sus posibles efectos distributivos negativos (p.26). Al no pasar la prueba 1 ni ninguna de las otras dos, el veredicto es 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"la materialización de uno u otro escenario climático no depende únicamente de las medidas que implementen los países de la región, sino, principalmente, de los esfuerzos de reducción de emisiones a nivel global y, prioritariamente, en los países y regiones con mayores niveles de emisión"</w:t>
            </w:r>
          </w:p>
        </w:tc>
        <w:tc>
          <w:tcPr/>
          <w:p>
            <w:pPr>
              <w:pStyle w:val="Compact"/>
            </w:pPr>
            <w:r>
              <w:t xml:space="preserve">34</w:t>
            </w:r>
          </w:p>
        </w:tc>
      </w:tr>
      <w:tr>
        <w:tc>
          <w:tcPr/>
          <w:p>
            <w:pPr>
              <w:pStyle w:val="Compact"/>
            </w:pPr>
            <w:r>
              <w:t xml:space="preserve">"se pueden identificar cuatro grandes áreas de políticas para mitigar los efectos del cambio climático en la pobreza infantil y juvenil"</w:t>
            </w:r>
          </w:p>
        </w:tc>
        <w:tc>
          <w:tcPr/>
          <w:p>
            <w:pPr>
              <w:pStyle w:val="Compact"/>
            </w:pPr>
            <w:r>
              <w:t xml:space="preserve">41</w:t>
            </w:r>
          </w:p>
        </w:tc>
      </w:tr>
    </w:tbl>
    <w:p>
      <w:pPr>
        <w:pStyle w:val="BodyText"/>
      </w:pPr>
      <w:r>
        <w:rPr>
          <w:b/>
          <w:bCs/>
        </w:rPr>
        <w:t xml:space="preserve">Nota:</w:t>
      </w:r>
      <w:r>
        <w:t xml:space="preserve"> </w:t>
      </w:r>
      <w:r>
        <w:t xml:space="preserve">el No es por diseño del documento, no por omisión descuidada: su objeto es cuantificar el daño del cambio climático sobre la pobreza infantil, con el clima como variable exógena y no como objeto de política propia.</w:t>
      </w:r>
    </w:p>
    <w:bookmarkEnd w:id="26"/>
    <w:bookmarkStart w:id="27" w:name="X2f9568798ba5ad7f341379b54f9a3b069faeccf"/>
    <w:p>
      <w:pPr>
        <w:pStyle w:val="Heading3"/>
      </w:pPr>
      <w:r>
        <w:t xml:space="preserve">Criterio ii — ¿Articula actores mediante un mecanismo concreto? →</w:t>
      </w:r>
      <w:r>
        <w:t xml:space="preserve"> </w:t>
      </w:r>
      <w:r>
        <w:rPr>
          <w:b/>
          <w:bCs/>
        </w:rPr>
        <w:t xml:space="preserve">Parcial</w:t>
      </w:r>
    </w:p>
    <w:p>
      <w:pPr>
        <w:pStyle w:val="FirstParagraph"/>
      </w:pPr>
      <w:r>
        <w:rPr>
          <w:b/>
          <w:bCs/>
        </w:rPr>
        <w:t xml:space="preserve">Razonamiento:</w:t>
      </w:r>
      <w:r>
        <w:t xml:space="preserve"> </w:t>
      </w:r>
      <w:r>
        <w:t xml:space="preserve">El documento nombra actores por tipo de entidad y con detalle —sector privado, organismos y fondos multilaterales, instituciones financieras, ministerios de economía, autoridades fiscales, de salud y de educación (p.42)—, pero no nombra ningún mecanismo, plataforma, consejo o proceso de coordinación con nombre propio entre ellos, que es lo que la regla exige para un Sí. El instrumento más cercano es la recomendación de partir por "unas CDN sensibles a la niñez" (p.41): las CDN sí pertenecen al ámbito de aplicación del documento (son instrumentos nacionales de los países analizados), pero son un vehículo genérico de compromisos climáticos, no un mecanismo de articulación entre actores con nombre propio, y la formulación queda en "esto podría empezar por". Nombrar quiénes deberían coordinarse, sin el mecanismo que los coordina, deja el veredicto en Parcial.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"se enfatiza la necesidad de fortalecer las capacidades técnicas y la coordinación para garantizar una acción climática centrada en la infancia, entre el sector privado, organismos y fondos multilaterales, instituciones financieras y actores clave, como los ministerios de economía, autoridades fiscales, salud y educación"</w:t>
            </w:r>
          </w:p>
        </w:tc>
        <w:tc>
          <w:tcPr/>
          <w:p>
            <w:pPr>
              <w:pStyle w:val="Compact"/>
            </w:pPr>
            <w:r>
              <w:t xml:space="preserve">42</w:t>
            </w:r>
          </w:p>
        </w:tc>
      </w:tr>
      <w:tr>
        <w:tc>
          <w:tcPr/>
          <w:p>
            <w:pPr>
              <w:pStyle w:val="Compact"/>
            </w:pPr>
            <w:r>
              <w:t xml:space="preserve">"Esto podría empezar por unas CDN sensibles a la niñez, es decir, que fortalezcan los servicios sociales críticos para los niños, niñas, adolescentes y jóvenes a fin de hacerlos más resilientes al clima"</w:t>
            </w:r>
          </w:p>
        </w:tc>
        <w:tc>
          <w:tcPr/>
          <w:p>
            <w:pPr>
              <w:pStyle w:val="Compact"/>
            </w:pPr>
            <w:r>
              <w:t xml:space="preserve">41</w:t>
            </w:r>
          </w:p>
        </w:tc>
      </w:tr>
    </w:tbl>
    <w:bookmarkEnd w:id="27"/>
    <w:bookmarkStart w:id="28" w:name="X5cd795c2a722be680fb0c1cde6e36e2d08b21fd"/>
    <w:p>
      <w:pPr>
        <w:pStyle w:val="Heading3"/>
      </w:pPr>
      <w:r>
        <w:t xml:space="preserve">Criterio iii — ¿Releva oportunidades productivas sostenibles? →</w:t>
      </w:r>
      <w:r>
        <w:t xml:space="preserve"> </w:t>
      </w:r>
      <w:r>
        <w:rPr>
          <w:b/>
          <w:bCs/>
        </w:rPr>
        <w:t xml:space="preserve">No</w:t>
      </w:r>
    </w:p>
    <w:p>
      <w:pPr>
        <w:pStyle w:val="FirstParagraph"/>
      </w:pPr>
      <w:r>
        <w:rPr>
          <w:b/>
          <w:bCs/>
        </w:rPr>
        <w:t xml:space="preserve">Razonamiento (chequeo negativo explícito):</w:t>
      </w:r>
      <w:r>
        <w:t xml:space="preserve"> </w:t>
      </w:r>
      <w:r>
        <w:t xml:space="preserve">Elemento (a) — enumeración de sectores, industrias o actividades con oportunidad productiva: no se encontró en ninguna de las cinco secciones ni en los anexos; todo el contenido económico del documento cuantifica pérdidas y costos (PIB per cápita entre 5% y 12% por debajo del contrafactual en 2030, p.33; costo del excedente de pobreza de entre 0,09% y 0,44% del PIB, p.38), nunca actividades con potencial de producción o empleo. Elemento (b) — vínculo con empleo/productividad/desigualdad: el documento desarrolla extensamente el vínculo clima-desigualdad-pobreza, pero como mecanismo de daño; el empleo aparece solo como canal por el que el crecimiento reduce la pobreza (p.21) o como riesgo distributivo de la transición baja en carbono (p.26), no conectado a oportunidad alguna. Los pasajes en tono positivo más cercanos —los movimientos climáticos liderados por la niñez (p.43) y las nuevas CDN como "excelente oportunidad" para comprometer medidas (p.4)— son oportunidades de participación y de política social, no productivas. Ninguno de los dos elementos del criterio está presente.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"el costo económico del excedente de pobreza en la infancia y la adolescencia es de entre 0,09 por ciento y 0,44 por ciento del PIB a 2030"</w:t>
            </w:r>
          </w:p>
        </w:tc>
        <w:tc>
          <w:tcPr/>
          <w:p>
            <w:pPr>
              <w:pStyle w:val="Compact"/>
            </w:pPr>
            <w:r>
              <w:t xml:space="preserve">38</w:t>
            </w:r>
          </w:p>
        </w:tc>
      </w:tr>
      <w:tr>
        <w:tc>
          <w:tcPr/>
          <w:p>
            <w:pPr>
              <w:pStyle w:val="Compact"/>
            </w:pPr>
            <w:r>
              <w:t xml:space="preserve">"la transición hacia economías bajas en carbono también puede tener efectos negativos sobre la desigualdad. El efecto neto sobre el empleo, la reconfiguración productiva o los impactos sobre los precios de los alimentos y de la energía deben ser considerados en la elaboración de políticas públicas para una transición justa"</w:t>
            </w:r>
          </w:p>
        </w:tc>
        <w:tc>
          <w:tcPr/>
          <w:p>
            <w:pPr>
              <w:pStyle w:val="Compact"/>
            </w:pPr>
            <w:r>
              <w:t xml:space="preserve">26</w:t>
            </w:r>
          </w:p>
        </w:tc>
      </w:tr>
    </w:tbl>
    <w:bookmarkEnd w:id="28"/>
    <w:bookmarkStart w:id="29" w:name="Xe5278bfd6d1c7cccd7daff8cfd2e24b6fb5a4a4"/>
    <w:p>
      <w:pPr>
        <w:pStyle w:val="Heading3"/>
      </w:pPr>
      <w:r>
        <w:t xml:space="preserve">Criterio iv — ¿Propone el "cómo hacerlo" de forma concreta? →</w:t>
      </w:r>
      <w:r>
        <w:t xml:space="preserve"> </w:t>
      </w:r>
      <w:r>
        <w:rPr>
          <w:b/>
          <w:bCs/>
        </w:rPr>
        <w:t xml:space="preserve">Parcial</w:t>
      </w:r>
    </w:p>
    <w:p>
      <w:pPr>
        <w:pStyle w:val="FirstParagraph"/>
      </w:pPr>
      <w:r>
        <w:rPr>
          <w:b/>
          <w:bCs/>
        </w:rPr>
        <w:t xml:space="preserve">Razonamiento:</w:t>
      </w:r>
      <w:r>
        <w:t xml:space="preserve"> </w:t>
      </w:r>
      <w:r>
        <w:t xml:space="preserve">El documento concentra su "cómo hacerlo" en cuatro grandes áreas de política (p.41-43), cuyas acciones internas se desglosan en 11 ítems evaluables. Aplicada la prueba de concreción ítem por ítem (verbo de acción + objeto específico), 7 de 11 pasan; los 4 restantes son formulaciones genéricas del tipo "garantizar recursos nuevos y adicionales", "fortalecer capacidades y coordinación", "priorizar la resiliencia", "ampliar la accesibilidad". Aunque 7 de 11 es mayoría aritmética, ninguno de los ítems concretos identifica actor responsable, plazo ni métrica, y varios de los acreditados como CONCRETO son limítrofes ("desarrollar sistemas de protección social adaptativos" nombra el objeto pero no su diseño ni escala); bajo una lectura estricta la proporción se acerca al empate. Se fija Parcial como decisión conservadora, coherente con el default ante ambigüedad (Parcial o No, nunca inflación a Sí).</w:t>
      </w:r>
    </w:p>
    <w:p>
      <w:pPr>
        <w:pStyle w:val="BodyText"/>
      </w:pPr>
      <w:r>
        <w:rPr>
          <w:b/>
          <w:bCs/>
        </w:rPr>
        <w:t xml:space="preserve">Desglose ítem por ítem: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Ítem (agrupado por área de política)</w:t>
            </w:r>
          </w:p>
        </w:tc>
        <w:tc>
          <w:tcPr/>
          <w:p>
            <w:pPr>
              <w:pStyle w:val="Compact"/>
            </w:pPr>
            <w:r>
              <w:t xml:space="preserve">Clasificación</w:t>
            </w:r>
          </w:p>
        </w:tc>
        <w:tc>
          <w:tcPr/>
          <w:p>
            <w:pPr>
              <w:pStyle w:val="Compact"/>
            </w:pPr>
            <w:r>
              <w:t xml:space="preserve">Página</w:t>
            </w:r>
          </w:p>
        </w:tc>
      </w:tr>
      <w:tr>
        <w:tc>
          <w:tcPr/>
          <w:p>
            <w:pPr>
              <w:pStyle w:val="Compact"/>
            </w:pPr>
            <w:r>
              <w:t xml:space="preserve">Área 1 (resiliencia de servicios sociales): diseñar programas que proporcionen servicios combinados de salud, nutrición y cuidado temprano con enfoque climático, considerando estrés térmico e inseguridad alimentaria, con énfasis en los primeros 1.000 días de vida</w:t>
            </w:r>
          </w:p>
        </w:tc>
        <w:tc>
          <w:tcPr/>
          <w:p>
            <w:pPr>
              <w:pStyle w:val="Compact"/>
            </w:pPr>
            <w:r>
              <w:t xml:space="preserve">CONCRETO</w:t>
            </w:r>
          </w:p>
        </w:tc>
        <w:tc>
          <w:tcPr/>
          <w:p>
            <w:pPr>
              <w:pStyle w:val="Compact"/>
            </w:pPr>
            <w:r>
              <w:t xml:space="preserve">42</w:t>
            </w:r>
          </w:p>
        </w:tc>
      </w:tr>
      <w:tr>
        <w:tc>
          <w:tcPr/>
          <w:p>
            <w:pPr>
              <w:pStyle w:val="Compact"/>
            </w:pPr>
            <w:r>
              <w:t xml:space="preserve">Área 1: garantizar el diseño y la construcción de escuelas resistentes a fenómenos climáticos para reducir las interrupciones educativas en caso de desastres</w:t>
            </w:r>
          </w:p>
        </w:tc>
        <w:tc>
          <w:tcPr/>
          <w:p>
            <w:pPr>
              <w:pStyle w:val="Compact"/>
            </w:pPr>
            <w:r>
              <w:t xml:space="preserve">CONCRETO</w:t>
            </w:r>
          </w:p>
        </w:tc>
        <w:tc>
          <w:tcPr/>
          <w:p>
            <w:pPr>
              <w:pStyle w:val="Compact"/>
            </w:pPr>
            <w:r>
              <w:t xml:space="preserve">42</w:t>
            </w:r>
          </w:p>
        </w:tc>
      </w:tr>
      <w:tr>
        <w:tc>
          <w:tcPr/>
          <w:p>
            <w:pPr>
              <w:pStyle w:val="Compact"/>
            </w:pPr>
            <w:r>
              <w:t xml:space="preserve">Área 1: priorizar la resiliencia de la infraestructura de agua potable y saneamiento</w:t>
            </w:r>
          </w:p>
        </w:tc>
        <w:tc>
          <w:tcPr/>
          <w:p>
            <w:pPr>
              <w:pStyle w:val="Compact"/>
            </w:pPr>
            <w:r>
              <w:t xml:space="preserve">GENÉRICO</w:t>
            </w:r>
          </w:p>
        </w:tc>
        <w:tc>
          <w:tcPr/>
          <w:p>
            <w:pPr>
              <w:pStyle w:val="Compact"/>
            </w:pPr>
            <w:r>
              <w:t xml:space="preserve">42</w:t>
            </w:r>
          </w:p>
        </w:tc>
      </w:tr>
      <w:tr>
        <w:tc>
          <w:tcPr/>
          <w:p>
            <w:pPr>
              <w:pStyle w:val="Compact"/>
            </w:pPr>
            <w:r>
              <w:t xml:space="preserve">Área 2 (financiamiento climático sensible a la niñez): garantizar recursos nuevos y adicionales para afrontar pérdidas y daños</w:t>
            </w:r>
          </w:p>
        </w:tc>
        <w:tc>
          <w:tcPr/>
          <w:p>
            <w:pPr>
              <w:pStyle w:val="Compact"/>
            </w:pPr>
            <w:r>
              <w:t xml:space="preserve">GENÉRICO</w:t>
            </w:r>
          </w:p>
        </w:tc>
        <w:tc>
          <w:tcPr/>
          <w:p>
            <w:pPr>
              <w:pStyle w:val="Compact"/>
            </w:pPr>
            <w:r>
              <w:t xml:space="preserve">42</w:t>
            </w:r>
          </w:p>
        </w:tc>
      </w:tr>
      <w:tr>
        <w:tc>
          <w:tcPr/>
          <w:p>
            <w:pPr>
              <w:pStyle w:val="Compact"/>
            </w:pPr>
            <w:r>
              <w:t xml:space="preserve">Área 2: implementar mecanismos de evaluación de impacto de los proyectos con enfoque de derechos de la infancia, basados en datos desagregados por edad y sexo</w:t>
            </w:r>
          </w:p>
        </w:tc>
        <w:tc>
          <w:tcPr/>
          <w:p>
            <w:pPr>
              <w:pStyle w:val="Compact"/>
            </w:pPr>
            <w:r>
              <w:t xml:space="preserve">CONCRETO</w:t>
            </w:r>
          </w:p>
        </w:tc>
        <w:tc>
          <w:tcPr/>
          <w:p>
            <w:pPr>
              <w:pStyle w:val="Compact"/>
            </w:pPr>
            <w:r>
              <w:t xml:space="preserve">42</w:t>
            </w:r>
          </w:p>
        </w:tc>
      </w:tr>
      <w:tr>
        <w:tc>
          <w:tcPr/>
          <w:p>
            <w:pPr>
              <w:pStyle w:val="Compact"/>
            </w:pPr>
            <w:r>
              <w:t xml:space="preserve">Área 2: fortalecer las capacidades técnicas y la coordinación entre los actores del financiamiento climático</w:t>
            </w:r>
          </w:p>
        </w:tc>
        <w:tc>
          <w:tcPr/>
          <w:p>
            <w:pPr>
              <w:pStyle w:val="Compact"/>
            </w:pPr>
            <w:r>
              <w:t xml:space="preserve">GENÉRICO</w:t>
            </w:r>
          </w:p>
        </w:tc>
        <w:tc>
          <w:tcPr/>
          <w:p>
            <w:pPr>
              <w:pStyle w:val="Compact"/>
            </w:pPr>
            <w:r>
              <w:t xml:space="preserve">42</w:t>
            </w:r>
          </w:p>
        </w:tc>
      </w:tr>
      <w:tr>
        <w:tc>
          <w:tcPr/>
          <w:p>
            <w:pPr>
              <w:pStyle w:val="Compact"/>
            </w:pPr>
            <w:r>
              <w:t xml:space="preserve">Área 3 (protección social adaptativa): desarrollar sistemas de protección social adaptativos o responsivos a desastres, incorporando criterios de vulnerabilidad climática en los programas existentes</w:t>
            </w:r>
          </w:p>
        </w:tc>
        <w:tc>
          <w:tcPr/>
          <w:p>
            <w:pPr>
              <w:pStyle w:val="Compact"/>
            </w:pPr>
            <w:r>
              <w:t xml:space="preserve">CONCRETO</w:t>
            </w:r>
          </w:p>
        </w:tc>
        <w:tc>
          <w:tcPr/>
          <w:p>
            <w:pPr>
              <w:pStyle w:val="Compact"/>
            </w:pPr>
            <w:r>
              <w:t xml:space="preserve">43</w:t>
            </w:r>
          </w:p>
        </w:tc>
      </w:tr>
      <w:tr>
        <w:tc>
          <w:tcPr/>
          <w:p>
            <w:pPr>
              <w:pStyle w:val="Compact"/>
            </w:pPr>
            <w:r>
              <w:t xml:space="preserve">Área 3: crear un fondo de emergencia para familias con niñas y niños pequeños tras eventos climáticos extremos</w:t>
            </w:r>
          </w:p>
        </w:tc>
        <w:tc>
          <w:tcPr/>
          <w:p>
            <w:pPr>
              <w:pStyle w:val="Compact"/>
            </w:pPr>
            <w:r>
              <w:t xml:space="preserve">CONCRETO</w:t>
            </w:r>
          </w:p>
        </w:tc>
        <w:tc>
          <w:tcPr/>
          <w:p>
            <w:pPr>
              <w:pStyle w:val="Compact"/>
            </w:pPr>
            <w:r>
              <w:t xml:space="preserve">43</w:t>
            </w:r>
          </w:p>
        </w:tc>
      </w:tr>
      <w:tr>
        <w:tc>
          <w:tcPr/>
          <w:p>
            <w:pPr>
              <w:pStyle w:val="Compact"/>
            </w:pPr>
            <w:r>
              <w:t xml:space="preserve">Área 3: ampliar la accesibilidad a servicios de salud integrales</w:t>
            </w:r>
          </w:p>
        </w:tc>
        <w:tc>
          <w:tcPr/>
          <w:p>
            <w:pPr>
              <w:pStyle w:val="Compact"/>
            </w:pPr>
            <w:r>
              <w:t xml:space="preserve">GENÉRICO</w:t>
            </w:r>
          </w:p>
        </w:tc>
        <w:tc>
          <w:tcPr/>
          <w:p>
            <w:pPr>
              <w:pStyle w:val="Compact"/>
            </w:pPr>
            <w:r>
              <w:t xml:space="preserve">43</w:t>
            </w:r>
          </w:p>
        </w:tc>
      </w:tr>
      <w:tr>
        <w:tc>
          <w:tcPr/>
          <w:p>
            <w:pPr>
              <w:pStyle w:val="Compact"/>
            </w:pPr>
            <w:r>
              <w:t xml:space="preserve">Área 3: adecuar los protocolos de respuesta a emergencias a las necesidades físicas y psicológicas específicas de la niñez</w:t>
            </w:r>
          </w:p>
        </w:tc>
        <w:tc>
          <w:tcPr/>
          <w:p>
            <w:pPr>
              <w:pStyle w:val="Compact"/>
            </w:pPr>
            <w:r>
              <w:t xml:space="preserve">CONCRETO</w:t>
            </w:r>
          </w:p>
        </w:tc>
        <w:tc>
          <w:tcPr/>
          <w:p>
            <w:pPr>
              <w:pStyle w:val="Compact"/>
            </w:pPr>
            <w:r>
              <w:t xml:space="preserve">43</w:t>
            </w:r>
          </w:p>
        </w:tc>
      </w:tr>
      <w:tr>
        <w:tc>
          <w:tcPr/>
          <w:p>
            <w:pPr>
              <w:pStyle w:val="Compact"/>
            </w:pPr>
            <w:r>
              <w:t xml:space="preserve">Área 4 (consciencia y empoderamiento climático): incluir la educación ambiental y climática en los currículos escolares y los programas educativos</w:t>
            </w:r>
          </w:p>
        </w:tc>
        <w:tc>
          <w:tcPr/>
          <w:p>
            <w:pPr>
              <w:pStyle w:val="Compact"/>
            </w:pPr>
            <w:r>
              <w:t xml:space="preserve">CONCRETO</w:t>
            </w:r>
          </w:p>
        </w:tc>
        <w:tc>
          <w:tcPr/>
          <w:p>
            <w:pPr>
              <w:pStyle w:val="Compact"/>
            </w:pPr>
            <w:r>
              <w:t xml:space="preserve">43</w:t>
            </w:r>
          </w:p>
        </w:tc>
      </w:tr>
    </w:tbl>
    <w:p>
      <w:pPr>
        <w:pStyle w:val="BodyText"/>
      </w:pPr>
      <w:r>
        <w:rPr>
          <w:b/>
          <w:bCs/>
        </w:rPr>
        <w:t xml:space="preserve">Balance: 7 de 11 ítems pasan la prueba de concreción.</w:t>
      </w:r>
      <w:r>
        <w:t xml:space="preserve"> </w:t>
      </w:r>
      <w:r>
        <w:t xml:space="preserve">Nota: la clasificación de varios ítems acreditados como CONCRETO es limítrofe (verbo + objeto específico presentes, pero sin actor, plazo ni métrica); se deja marcada para discusión con el equipo del curso en vez de resolverse unilateralmente.</w:t>
      </w:r>
    </w:p>
    <w:bookmarkEnd w:id="29"/>
    <w:bookmarkEnd w:id="30"/>
    <w:bookmarkStart w:id="31" w:name="Xfdcff26cf762c1f189f6b72612a1b83368ed136"/>
    <w:p>
      <w:pPr>
        <w:pStyle w:val="Heading2"/>
      </w:pPr>
      <w:r>
        <w:t xml:space="preserve">5. Tipología (nivel: documento completo)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Transformación primaria</w:t>
            </w:r>
          </w:p>
        </w:tc>
        <w:tc>
          <w:tcPr/>
          <w:p>
            <w:pPr>
              <w:pStyle w:val="Compact"/>
            </w:pPr>
            <w:r>
              <w:t xml:space="preserve">#2 Reducción de la desigualdad — certeza</w:t>
            </w:r>
            <w:r>
              <w:t xml:space="preserve"> </w:t>
            </w:r>
            <w:r>
              <w:rPr>
                <w:b/>
                <w:bCs/>
              </w:rPr>
              <w:t xml:space="preserve">Alta</w:t>
            </w:r>
          </w:p>
        </w:tc>
      </w:tr>
      <w:tr>
        <w:tc>
          <w:tcPr/>
          <w:p>
            <w:pPr>
              <w:pStyle w:val="Compact"/>
            </w:pPr>
            <w:r>
              <w:t xml:space="preserve">Transformación secundaria</w:t>
            </w:r>
          </w:p>
        </w:tc>
        <w:tc>
          <w:tcPr/>
          <w:p>
            <w:pPr>
              <w:pStyle w:val="Compact"/>
            </w:pPr>
            <w:r>
              <w:t xml:space="preserve">#6 Sostenibilidad ambiental — certeza</w:t>
            </w:r>
            <w:r>
              <w:t xml:space="preserve"> </w:t>
            </w:r>
            <w:r>
              <w:rPr>
                <w:b/>
                <w:bCs/>
              </w:rPr>
              <w:t xml:space="preserve">Alta</w:t>
            </w:r>
          </w:p>
        </w:tc>
      </w:tr>
      <w:tr>
        <w:tc>
          <w:tcPr/>
          <w:p>
            <w:pPr>
              <w:pStyle w:val="Compact"/>
            </w:pPr>
            <w:r>
              <w:t xml:space="preserve">Tipo de documento climático</w:t>
            </w:r>
          </w:p>
        </w:tc>
        <w:tc>
          <w:tcPr/>
          <w:p>
            <w:pPr>
              <w:pStyle w:val="Compact"/>
            </w:pPr>
            <w:r>
              <w:t xml:space="preserve">Documento de proyecto o estudio técnico (modelización econométrica interinstitucional UNICEF-CEPAL)</w:t>
            </w:r>
          </w:p>
        </w:tc>
      </w:tr>
      <w:tr>
        <w:tc>
          <w:tcPr/>
          <w:p>
            <w:pPr>
              <w:pStyle w:val="Compact"/>
            </w:pPr>
            <w:r>
              <w:t xml:space="preserve">Nivel de aplicación</w:t>
            </w:r>
          </w:p>
        </w:tc>
        <w:tc>
          <w:tcPr/>
          <w:p>
            <w:pPr>
              <w:pStyle w:val="Compact"/>
            </w:pPr>
            <w:r>
              <w:t xml:space="preserve">Regional (América Latina, 18 países), con resultados desagregados por país en las proyecciones</w:t>
            </w:r>
          </w:p>
        </w:tc>
      </w:tr>
      <w:tr>
        <w:tc>
          <w:tcPr/>
          <w:p>
            <w:pPr>
              <w:pStyle w:val="Compact"/>
            </w:pPr>
            <w:r>
              <w:t xml:space="preserve">Ambigüedad pendiente</w:t>
            </w:r>
          </w:p>
        </w:tc>
        <w:tc>
          <w:tcPr/>
          <w:p>
            <w:pPr>
              <w:pStyle w:val="Compact"/>
            </w:pPr>
            <w:r>
              <w:t xml:space="preserve">Ninguna</w:t>
            </w:r>
          </w:p>
        </w:tc>
      </w:tr>
    </w:tbl>
    <w:p>
      <w:pPr>
        <w:pStyle w:val="BodyText"/>
      </w:pPr>
      <w:r>
        <w:rPr>
          <w:b/>
          <w:bCs/>
        </w:rPr>
        <w:t xml:space="preserve">Razonamiento en 5 pasos:</w:t>
      </w:r>
    </w:p>
    <w:p>
      <w:pPr>
        <w:pStyle w:val="Compact"/>
        <w:numPr>
          <w:ilvl w:val="0"/>
          <w:numId w:val="1003"/>
        </w:numPr>
      </w:pPr>
      <w:r>
        <w:rPr>
          <w:b/>
          <w:bCs/>
        </w:rPr>
        <w:t xml:space="preserve">Tensión que procesa el documento:</w:t>
      </w:r>
      <w:r>
        <w:t xml:space="preserve"> </w:t>
      </w:r>
      <w:r>
        <w:t xml:space="preserve">pobreza infantil y juvenil (fenómeno distributivo y de protección social) frente a cambio climático (fenómeno ambiental que actúa como multiplicador de riesgo). El documento procesa esa tensión tratando el clima como variable causal exógena de un problema de desigualdad —los escenarios globales de GEI determinan el daño, las políticas sociales nacionales determinan cuánto de ese daño se traduce en pobreza—, nunca como objeto de intervención productiva o ambiental directa.</w:t>
      </w:r>
    </w:p>
    <w:p>
      <w:pPr>
        <w:pStyle w:val="Compact"/>
        <w:numPr>
          <w:ilvl w:val="0"/>
          <w:numId w:val="1003"/>
        </w:numPr>
      </w:pPr>
      <w:r>
        <w:rPr>
          <w:b/>
          <w:bCs/>
        </w:rPr>
        <w:t xml:space="preserve">Categoría primaria:</w:t>
      </w:r>
      <w:r>
        <w:t xml:space="preserve"> </w:t>
      </w:r>
      <w:r>
        <w:t xml:space="preserve">lo que el documento pretende transformar es la incidencia de la pobreza en los menores de 25 años: la pregunta de investigación, el resultado central (5,9 a 27,5 millones de niños, niñas, adolescentes y jóvenes adicionales en pobreza a 2030) y las cuatro áreas de recomendación (p.41-43) giran enteramente en torno a proteger a la niñez de caer en pobreza, no a transformar la matriz productiva, energética o comercial. Encaja en Reducción de la desigualdad (#2).</w:t>
      </w:r>
    </w:p>
    <w:p>
      <w:pPr>
        <w:pStyle w:val="Compact"/>
        <w:numPr>
          <w:ilvl w:val="0"/>
          <w:numId w:val="1003"/>
        </w:numPr>
      </w:pPr>
      <w:r>
        <w:rPr>
          <w:b/>
          <w:bCs/>
        </w:rPr>
        <w:t xml:space="preserve">Secundaria (obligatoria):</w:t>
      </w:r>
      <w:r>
        <w:t xml:space="preserve"> </w:t>
      </w:r>
      <w:r>
        <w:t xml:space="preserve">el canal causal explícito de todo el análisis cuantitativo (escenarios climáticos → PIB per cápita → tasa de pobreza infantil y juvenil) es el cambio climático, y las recomendaciones piden integrar las políticas climáticas con las de infancia (CDN sensibles a la niñez, financiamiento climático). Esto sostiene Sostenibilidad ambiental (#6) como secundaria: entra por relación causal estructural con el objeto del documento, aun cuando este no propone ninguna acción ambiental directa.</w:t>
      </w:r>
    </w:p>
    <w:p>
      <w:pPr>
        <w:pStyle w:val="Compact"/>
        <w:numPr>
          <w:ilvl w:val="0"/>
          <w:numId w:val="1003"/>
        </w:numPr>
      </w:pPr>
      <w:r>
        <w:rPr>
          <w:b/>
          <w:bCs/>
        </w:rPr>
        <w:t xml:space="preserve">Justificación específica (regla anti-copia):</w:t>
      </w:r>
      <w:r>
        <w:t xml:space="preserve"> </w:t>
      </w:r>
      <w:r>
        <w:t xml:space="preserve">el documento estima una elasticidad crecimiento-pobreza (η = -1,41 a -1,58) y la combina con funciones de daño climático del NGFS para proyectar pobreza infantil a 2030 bajo tres escenarios de emisiones y dos trayectorias del Gini; su producto es una cuantificación del riesgo distributivo del clima y una agenda de protección social adaptativa, financiamiento sensible a la niñez y educación climática — conceptos todos ausentes de una agenda de transformación productiva.</w:t>
      </w:r>
    </w:p>
    <w:p>
      <w:pPr>
        <w:pStyle w:val="Compact"/>
        <w:numPr>
          <w:ilvl w:val="0"/>
          <w:numId w:val="1003"/>
        </w:numPr>
      </w:pPr>
      <w:r>
        <w:rPr>
          <w:b/>
          <w:bCs/>
        </w:rPr>
        <w:t xml:space="preserve">Validación contra casos ancla:</w:t>
      </w:r>
      <w:r>
        <w:t xml:space="preserve"> </w:t>
      </w:r>
      <w:r>
        <w:t xml:space="preserve">este documento es el ancla del patrón en que #6 entra como secundaria por ser el canal causal del análisis (clima → PIB → pobreza) y no por afinidad temática directa con el objeto, que es enteramente distributivo/de protección social. No pertenece a una serie institucional con categoría predefinida (no es Panorama ni informe insignia).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hdl.handle.net/11362/82426" TargetMode="External" /></Relationships>
</file>

<file path=word/_rels/footnotes.xml.rels><?xml version="1.0" encoding="UTF-8"?><Relationships xmlns="http://schemas.openxmlformats.org/package/2006/relationships"><Relationship Type="http://schemas.openxmlformats.org/officeDocument/2006/relationships/hyperlink" Id="rId9" Target="https://hdl.handle.net/11362/824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2026-07-09T12:42:37Z</dcterms:created>
  <dcterms:modified xsi:type="dcterms:W3CDTF">2026-07-09T12:42:37Z</dcterms:modified>
</cp:coreProperties>
</file>

<file path=docProps/custom.xml><?xml version="1.0" encoding="utf-8"?>
<Properties xmlns="http://schemas.openxmlformats.org/officeDocument/2006/custom-properties" xmlns:vt="http://schemas.openxmlformats.org/officeDocument/2006/docPropsVTypes"/>
</file>