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60456129e830f5bccd476f10720c42b101c244"/>
    <w:p>
      <w:pPr>
        <w:pStyle w:val="Heading1"/>
      </w:pPr>
      <w:r>
        <w:t xml:space="preserve">Anexo 3 — Ficha completa del documento 13 (piloto)</w:t>
      </w:r>
    </w:p>
    <w:p>
      <w:pPr>
        <w:pStyle w:val="FirstParagraph"/>
      </w:pPr>
      <w:r>
        <w:rPr>
          <w:b/>
          <w:bCs/>
          <w:i/>
          <w:iCs/>
        </w:rPr>
        <w:t xml:space="preserve">Comercio, cambio climático y el impuesto fronterizo al carbono</w:t>
      </w:r>
      <w:r>
        <w:t xml:space="preserve"> </w:t>
      </w:r>
      <w:r>
        <w:t xml:space="preserve">—</w:t>
      </w:r>
      <w:r>
        <w:t xml:space="preserve"> </w:t>
      </w:r>
      <w:hyperlink r:id="rId9">
        <w:r>
          <w:rPr>
            <w:rStyle w:val="Hyperlink"/>
          </w:rPr>
          <w:t xml:space="preserve">https://hdl.handle.net/11362/68639</w:t>
        </w:r>
      </w:hyperlink>
    </w:p>
    <w:p>
      <w:pPr>
        <w:pStyle w:val="BlockText"/>
      </w:pPr>
      <w:r>
        <w:t xml:space="preserve">Esta ficha es la versión legible del resultado completo que produjo la metodología sobre este documento. Todo lo que aparece fue extraído del PDF; cada cita textual lleva su número de página (la numeración impresa en el documento) para que pueda verificarse. Es el caso de estrés del piloto: 105 páginas, estructura de capítulos con tres niveles, y cambio constante de universo geográfico.</w:t>
      </w:r>
    </w:p>
    <w:bookmarkStart w:id="10" w:name="X7f92fd641c9f971d6c17164be3596576b8f0847"/>
    <w:p>
      <w:pPr>
        <w:pStyle w:val="Heading2"/>
      </w:pPr>
      <w:r>
        <w:t xml:space="preserve">1. Datos del documento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 en la muestra de calibración</w:t>
            </w:r>
          </w:p>
        </w:tc>
        <w:tc>
          <w:tcPr/>
          <w:p>
            <w:pPr>
              <w:pStyle w:val="Compact"/>
            </w:pPr>
            <w:r>
              <w:t xml:space="preserve">13</w:t>
            </w:r>
          </w:p>
        </w:tc>
      </w:tr>
      <w:tr>
        <w:tc>
          <w:tcPr/>
          <w:p>
            <w:pPr>
              <w:pStyle w:val="Compact"/>
            </w:pPr>
            <w:r>
              <w:t xml:space="preserve">Título</w:t>
            </w:r>
          </w:p>
        </w:tc>
        <w:tc>
          <w:tcPr/>
          <w:p>
            <w:pPr>
              <w:pStyle w:val="Compact"/>
            </w:pPr>
            <w:r>
              <w:t xml:space="preserve">Comercio, cambio climático y el impuesto fronterizo al carbono</w:t>
            </w:r>
          </w:p>
        </w:tc>
      </w:tr>
      <w:tr>
        <w:tc>
          <w:tcPr/>
          <w:p>
            <w:pPr>
              <w:pStyle w:val="Compact"/>
            </w:pPr>
            <w:r>
              <w:t xml:space="preserve">Autoría</w:t>
            </w:r>
          </w:p>
        </w:tc>
        <w:tc>
          <w:tcPr/>
          <w:p>
            <w:pPr>
              <w:pStyle w:val="Compact"/>
            </w:pPr>
            <w:r>
              <w:t xml:space="preserve">So Jeong Lee (Unidad de Comercio Internacional e Industria, sede subregional de la CEPAL en México)</w:t>
            </w:r>
          </w:p>
        </w:tc>
      </w:tr>
      <w:tr>
        <w:tc>
          <w:tcPr/>
          <w:p>
            <w:pPr>
              <w:pStyle w:val="Compact"/>
            </w:pPr>
            <w:r>
              <w:t xml:space="preserve">Handle</w:t>
            </w:r>
          </w:p>
        </w:tc>
        <w:tc>
          <w:tcPr/>
          <w:p>
            <w:pPr>
              <w:pStyle w:val="Compact"/>
            </w:pPr>
            <w:hyperlink r:id="rId9">
              <w:r>
                <w:rPr>
                  <w:rStyle w:val="Hyperlink"/>
                </w:rPr>
                <w:t xml:space="preserve">https://hdl.handle.net/11362/68639</w:t>
              </w:r>
            </w:hyperlink>
          </w:p>
        </w:tc>
      </w:tr>
      <w:tr>
        <w:tc>
          <w:tcPr/>
          <w:p>
            <w:pPr>
              <w:pStyle w:val="Compact"/>
            </w:pPr>
            <w:r>
              <w:t xml:space="preserve">Símbolo</w:t>
            </w:r>
          </w:p>
        </w:tc>
        <w:tc>
          <w:tcPr/>
          <w:p>
            <w:pPr>
              <w:pStyle w:val="Compact"/>
            </w:pPr>
            <w:r>
              <w:t xml:space="preserve">LC/MEX/TS.2023/34</w:t>
            </w:r>
          </w:p>
        </w:tc>
      </w:tr>
      <w:tr>
        <w:tc>
          <w:tcPr/>
          <w:p>
            <w:pPr>
              <w:pStyle w:val="Compact"/>
            </w:pPr>
            <w:r>
              <w:t xml:space="preserve">Fecha</w:t>
            </w:r>
          </w:p>
        </w:tc>
        <w:tc>
          <w:tcPr/>
          <w:p>
            <w:pPr>
              <w:pStyle w:val="Compact"/>
            </w:pPr>
            <w:r>
              <w:t xml:space="preserve">23 de octubre de 2023</w:t>
            </w:r>
          </w:p>
        </w:tc>
      </w:tr>
      <w:tr>
        <w:tc>
          <w:tcPr/>
          <w:p>
            <w:pPr>
              <w:pStyle w:val="Compact"/>
            </w:pPr>
            <w:r>
              <w:t xml:space="preserve">Tipo de documento</w:t>
            </w:r>
          </w:p>
        </w:tc>
        <w:tc>
          <w:tcPr/>
          <w:p>
            <w:pPr>
              <w:pStyle w:val="Compact"/>
            </w:pPr>
            <w:r>
              <w:t xml:space="preserve">Documento de proyecto / estudio técnico</w:t>
            </w:r>
          </w:p>
        </w:tc>
      </w:tr>
      <w:tr>
        <w:tc>
          <w:tcPr/>
          <w:p>
            <w:pPr>
              <w:pStyle w:val="Compact"/>
            </w:pPr>
            <w:r>
              <w:t xml:space="preserve">Páginas de cuerpo / totales</w:t>
            </w:r>
          </w:p>
        </w:tc>
        <w:tc>
          <w:tcPr/>
          <w:p>
            <w:pPr>
              <w:pStyle w:val="Compact"/>
            </w:pPr>
            <w:r>
              <w:t xml:space="preserve">80 / 105</w:t>
            </w:r>
          </w:p>
        </w:tc>
      </w:tr>
      <w:tr>
        <w:tc>
          <w:tcPr/>
          <w:p>
            <w:pPr>
              <w:pStyle w:val="Compact"/>
            </w:pPr>
            <w:r>
              <w:t xml:space="preserve">Idioma</w:t>
            </w:r>
          </w:p>
        </w:tc>
        <w:tc>
          <w:tcPr/>
          <w:p>
            <w:pPr>
              <w:pStyle w:val="Compact"/>
            </w:pPr>
            <w:r>
              <w:t xml:space="preserve">Español</w:t>
            </w:r>
          </w:p>
        </w:tc>
      </w:tr>
      <w:tr>
        <w:tc>
          <w:tcPr/>
          <w:p>
            <w:pPr>
              <w:pStyle w:val="Compact"/>
            </w:pPr>
            <w:r>
              <w:t xml:space="preserve">¿Tiene resumen ejecutivo?</w:t>
            </w:r>
          </w:p>
        </w:tc>
        <w:tc>
          <w:tcPr/>
          <w:p>
            <w:pPr>
              <w:pStyle w:val="Compact"/>
            </w:pPr>
            <w:r>
              <w:t xml:space="preserve">Sí</w:t>
            </w:r>
          </w:p>
        </w:tc>
      </w:tr>
    </w:tbl>
    <w:bookmarkEnd w:id="10"/>
    <w:bookmarkStart w:id="11" w:name="Xdc76b7a10bc6755d97f74d23ab361d848622649"/>
    <w:p>
      <w:pPr>
        <w:pStyle w:val="Heading2"/>
      </w:pPr>
      <w:r>
        <w:t xml:space="preserve">2. Resumen enriquecido</w:t>
      </w:r>
    </w:p>
    <w:p>
      <w:pPr>
        <w:pStyle w:val="FirstParagraph"/>
      </w:pPr>
      <w:r>
        <w:rPr>
          <w:b/>
          <w:bCs/>
        </w:rPr>
        <w:t xml:space="preserve">Pregunta de investigación que responde el documento:</w:t>
      </w:r>
      <w:r>
        <w:t xml:space="preserve"> </w:t>
      </w:r>
      <w:r>
        <w:t xml:space="preserve">¿Qué impactos potenciales tiene el mecanismo de ajuste en frontera por carbono (CBAM) de la Unión Europea sobre la subregión de Centroamérica, México, Cuba, Haití y República Dominicana, y qué tan preparada está la subregión para enfrentarlo a él y a futuros instrumentos similares en el nexo comercio-clima?</w:t>
      </w:r>
    </w:p>
    <w:p>
      <w:pPr>
        <w:pStyle w:val="BodyText"/>
      </w:pPr>
      <w:r>
        <w:rPr>
          <w:b/>
          <w:bCs/>
        </w:rPr>
        <w:t xml:space="preserve">Alcance: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Plano</w:t>
            </w:r>
          </w:p>
        </w:tc>
        <w:tc>
          <w:tcPr/>
          <w:p>
            <w:pPr>
              <w:pStyle w:val="Compact"/>
            </w:pPr>
            <w:r>
              <w:t xml:space="preserve">Detalle</w:t>
            </w:r>
          </w:p>
        </w:tc>
      </w:tr>
      <w:tr>
        <w:tc>
          <w:tcPr/>
          <w:p>
            <w:pPr>
              <w:pStyle w:val="Compact"/>
            </w:pPr>
            <w:r>
              <w:t xml:space="preserve">Ámbito de aplicación</w:t>
            </w:r>
          </w:p>
        </w:tc>
        <w:tc>
          <w:tcPr/>
          <w:p>
            <w:pPr>
              <w:pStyle w:val="Compact"/>
            </w:pPr>
            <w:r>
              <w:t xml:space="preserve">Subregión de la sede subregional de la CEPAL en México: Costa Rica, Cuba, El Salvador, Guatemala, Haití, Honduras, México, Nicaragua, Panamá y República Dominicana (p.13, nota 1); con referencias al conjunto de América Latina y el Caribe en las secciones de política fiscal y cooperación</w:t>
            </w:r>
          </w:p>
        </w:tc>
      </w:tr>
      <w:tr>
        <w:tc>
          <w:tcPr/>
          <w:p>
            <w:pPr>
              <w:pStyle w:val="Compact"/>
            </w:pPr>
            <w:r>
              <w:t xml:space="preserve">Referentes o dependencias</w:t>
            </w:r>
          </w:p>
        </w:tc>
        <w:tc>
          <w:tcPr/>
          <w:p>
            <w:pPr>
              <w:pStyle w:val="Compact"/>
            </w:pPr>
            <w:r>
              <w:t xml:space="preserve">Unión Europea (sujeto regulador del EU-ETS y del CBAM); República de Corea, Canadá y Japón (diálogos bilaterales con la UE citados como referente, Cuadro 8); Estados Unidos y China (socios comerciales dominantes de la subregión); Chile (primer impuesto al carbono de ALC, Recuadro 10); G7 (club climático, Recuadro 4); BRICS y Australia (críticas al CBAM)</w:t>
            </w:r>
          </w:p>
        </w:tc>
      </w:tr>
      <w:tr>
        <w:tc>
          <w:tcPr/>
          <w:p>
            <w:pPr>
              <w:pStyle w:val="Compact"/>
            </w:pPr>
            <w:r>
              <w:t xml:space="preserve">Sectorial</w:t>
            </w:r>
          </w:p>
        </w:tc>
        <w:tc>
          <w:tcPr/>
          <w:p>
            <w:pPr>
              <w:pStyle w:val="Compact"/>
            </w:pPr>
            <w:r>
              <w:t xml:space="preserve">Comercio internacional, política fiscal/ambiental, mercado laboral; sectores del CBAM: hierro/acero, cemento, fertilizantes, aluminio, electricidad/hidrógeno (versión actual) y metales, cal, vidrio, cerámica, pulpa/papel, químicos (versión expandida hipotética)</w:t>
            </w:r>
          </w:p>
        </w:tc>
      </w:tr>
      <w:tr>
        <w:tc>
          <w:tcPr/>
          <w:p>
            <w:pPr>
              <w:pStyle w:val="Compact"/>
            </w:pPr>
            <w:r>
              <w:t xml:space="preserve">Temporal</w:t>
            </w:r>
          </w:p>
        </w:tc>
        <w:tc>
          <w:tcPr/>
          <w:p>
            <w:pPr>
              <w:pStyle w:val="Compact"/>
            </w:pPr>
            <w:r>
              <w:t xml:space="preserve">Datos 2005-2022; hitos regulatorios a 2026 (fase plena del CBAM, inclusión de emisiones indirectas) y 2030 (cobertura de todos los sectores del EU-ETS y meta Fit for 55); proyecciones de empleo 2020-2030</w:t>
            </w:r>
          </w:p>
        </w:tc>
      </w:tr>
    </w:tbl>
    <w:p>
      <w:pPr>
        <w:pStyle w:val="BodyText"/>
      </w:pPr>
      <w:r>
        <w:rPr>
          <w:b/>
          <w:bCs/>
        </w:rPr>
        <w:t xml:space="preserve">Hallazgos principales:</w:t>
      </w:r>
    </w:p>
    <w:p>
      <w:pPr>
        <w:pStyle w:val="Compact"/>
        <w:numPr>
          <w:ilvl w:val="0"/>
          <w:numId w:val="1001"/>
        </w:numPr>
      </w:pPr>
      <w:r>
        <w:t xml:space="preserve">El impacto inmediato del CBAM en la subregión es limitado: los productos cubiertos representan en promedio solo 0,09% de las exportaciones de la subregión a la UE (p.10).</w:t>
      </w:r>
    </w:p>
    <w:p>
      <w:pPr>
        <w:pStyle w:val="Compact"/>
        <w:numPr>
          <w:ilvl w:val="0"/>
          <w:numId w:val="1001"/>
        </w:numPr>
      </w:pPr>
      <w:r>
        <w:t xml:space="preserve">Costa Rica y República Dominicana son los países más expuestos, con hierro y acero representando ~0,7% y ~0,3% de sus exportaciones a la UE respectivamente; el hierro y acero concentra el 97,6% de las exportaciones CBAM de la subregión a la UE (p.38-40).</w:t>
      </w:r>
    </w:p>
    <w:p>
      <w:pPr>
        <w:pStyle w:val="Compact"/>
        <w:numPr>
          <w:ilvl w:val="0"/>
          <w:numId w:val="1001"/>
        </w:numPr>
      </w:pPr>
      <w:r>
        <w:t xml:space="preserve">La subregión depende fuertemente de los Estados Unidos (74,1% de sus exportaciones) y China, dejando poca exposición a la UE (4,3% de los destinos de exportación y 9,6% de las importaciones en 2021) (p.37).</w:t>
      </w:r>
    </w:p>
    <w:p>
      <w:pPr>
        <w:pStyle w:val="Compact"/>
        <w:numPr>
          <w:ilvl w:val="0"/>
          <w:numId w:val="1001"/>
        </w:numPr>
      </w:pPr>
      <w:r>
        <w:t xml:space="preserve">En la versión expandida hipotética del CBAM, Panamá sería el país más afectado, con los sectores cubiertos representando el 0,46% de su PIB en 2021, encabezados por el sector de metales (p.50).</w:t>
      </w:r>
    </w:p>
    <w:p>
      <w:pPr>
        <w:pStyle w:val="Compact"/>
        <w:numPr>
          <w:ilvl w:val="0"/>
          <w:numId w:val="1001"/>
        </w:numPr>
      </w:pPr>
      <w:r>
        <w:t xml:space="preserve">La subregión invirtió 55.400 millones de dólares en subsidios energéticos en 2021 (3% del PIB en promedio) y solo 4 países de ALC (Argentina, Chile, Colombia y México) tienen impuestos al carbono vigentes, a tasas sustancialmente más bajas que el promedio OCDE/G7 (p.60-62).</w:t>
      </w:r>
    </w:p>
    <w:p>
      <w:pPr>
        <w:pStyle w:val="Compact"/>
        <w:numPr>
          <w:ilvl w:val="0"/>
          <w:numId w:val="1001"/>
        </w:numPr>
      </w:pPr>
      <w:r>
        <w:t xml:space="preserve">La subregión tiene una matriz energética relativamente limpia (51,9% de generación eléctrica renovable en promedio, casi el doble del 27,7% mundial), liderada por Costa Rica con 99,8% — un punto de partida favorable no explotado en política climático-comercial (p.56).</w:t>
      </w:r>
    </w:p>
    <w:p>
      <w:pPr>
        <w:pStyle w:val="Compact"/>
        <w:numPr>
          <w:ilvl w:val="0"/>
          <w:numId w:val="1001"/>
        </w:numPr>
      </w:pPr>
      <w:r>
        <w:t xml:space="preserve">Las mujeres representan menos del 25% de la fuerza laboral en sectores clave de la transición verde y menos del 35% de los graduados STEM en la región, mientras que más del 80% de los nuevos empleos de la descarbonización surgirán en sectores dominados por hombres (p.47).</w:t>
      </w:r>
    </w:p>
    <w:p>
      <w:pPr>
        <w:pStyle w:val="FirstParagraph"/>
      </w:pPr>
      <w:r>
        <w:rPr>
          <w:b/>
          <w:bCs/>
        </w:rPr>
        <w:t xml:space="preserve">Conclusiones y recomendaciones del documento:</w:t>
      </w:r>
    </w:p>
    <w:p>
      <w:pPr>
        <w:pStyle w:val="Compact"/>
        <w:numPr>
          <w:ilvl w:val="0"/>
          <w:numId w:val="1002"/>
        </w:numPr>
      </w:pPr>
      <w:r>
        <w:t xml:space="preserve">El riesgo real no es el CBAM en su versión actual sino su posible expansión a productos derivados (automóviles, maquinaria) y la posibilidad de que los Estados Unidos —destino del 74,1% de las exportaciones subregionales— adopten un esquema similar (p.79).</w:t>
      </w:r>
    </w:p>
    <w:p>
      <w:pPr>
        <w:pStyle w:val="Compact"/>
        <w:numPr>
          <w:ilvl w:val="0"/>
          <w:numId w:val="1002"/>
        </w:numPr>
      </w:pPr>
      <w:r>
        <w:t xml:space="preserve">La matriz energética relativamente limpia de la subregión es un punto de partida ventajoso que debe aprovecharse para mejorar la competitividad comercial y de costos ante los gravámenes climáticos que se anticipan (p.80).</w:t>
      </w:r>
    </w:p>
    <w:p>
      <w:pPr>
        <w:pStyle w:val="Compact"/>
        <w:numPr>
          <w:ilvl w:val="0"/>
          <w:numId w:val="1002"/>
        </w:numPr>
      </w:pPr>
      <w:r>
        <w:t xml:space="preserve">8 puntos de acción (p.73-78): mejorar la recolección/verificación de datos de emisiones (incluyendo blockchain); garantizar representación equilibrada de sectores y partes interesadas; políticas activas y pasivas de mercado laboral; alianzas con el sector privado bajo en carbono; políticas fiscales climáticas (impuestos al carbono, sistemas de comercio de emisiones, bonos); análisis de cadena de suministro más allá de los sectores CBAM; integrar la adaptación climática con la política comercial; y actualizar los acuerdos comerciales con consideraciones climáticas.</w:t>
      </w:r>
    </w:p>
    <w:p>
      <w:pPr>
        <w:pStyle w:val="Compact"/>
        <w:numPr>
          <w:ilvl w:val="0"/>
          <w:numId w:val="1002"/>
        </w:numPr>
      </w:pPr>
      <w:r>
        <w:t xml:space="preserve">Se recomiendan enfoques holísticos que sincronicen mitigación, adaptación climática y política comercial en toda la cadena de valor, en vez de tratarlas como agendas separadas (p.80).</w:t>
      </w:r>
    </w:p>
    <w:p>
      <w:pPr>
        <w:pStyle w:val="FirstParagraph"/>
      </w:pPr>
      <w:r>
        <w:rPr>
          <w:b/>
          <w:bCs/>
        </w:rPr>
        <w:t xml:space="preserve">Resumen narrativo:</w:t>
      </w:r>
      <w:r>
        <w:t xml:space="preserve"> </w:t>
      </w:r>
      <w:r>
        <w:t xml:space="preserve">Documento de proyecto de la sede subregional de la CEPAL en México (LC/MEX/TS.2023/34, 2023) que analiza el mecanismo de ajuste en frontera por carbono (CBAM) de la Unión Europea —el primer impuesto climático transfronterizo del mundo, dirigido inicialmente a cemento, fertilizantes, hierro, acero, aluminio, electricidad e hidrógeno— y evalúa su impacto potencial sobre 10 países de Centroamérica, México, Cuba, Haití y República Dominicana. Su hallazgo cuantitativo central es que el impacto comercial inmediato será limitado: los sectores cubiertos representan en promedio apenas 0,09% de las exportaciones de la subregión a la UE, concentrados en Costa Rica y República Dominicana vía hierro y acero, porque el 74,1% de las exportaciones subregionales va a los Estados Unidos. El documento argumenta que ese impacto reducido no debe leerse como señal de preparación: la subregión sostiene 55.400 millones de dólares en subsidios energéticos (3% del PIB), solo 4 países de ALC tienen impuestos al carbono vigentes y a tasas bajas, y persiste una escasez sistemática de datos de emisiones indirectas necesarios para cumplir con esquemas como el CBAM. El riesgo que identifica es prospectivo: la expansión del CBAM a productos derivados (automóviles, maquinaria) y la posible adopción de esquemas similares por los Estados Unidos. Cierra con 8 puntos de acción que combinan instrumentos concretos (blockchain para datos de emisiones, políticas fiscales climáticas, alianzas tipo CANACEM) con llamados más genéricos de coordinación y cooperación.</w:t>
      </w:r>
    </w:p>
    <w:bookmarkEnd w:id="11"/>
    <w:bookmarkStart w:id="24" w:name="X01380f1835e9aeb038bfc11c7ae26b1275c7cb0"/>
    <w:p>
      <w:pPr>
        <w:pStyle w:val="Heading2"/>
      </w:pPr>
      <w:r>
        <w:t xml:space="preserve">3. Resumen por secciones y dimensiones (nivel: apartado)</w:t>
      </w:r>
    </w:p>
    <w:p>
      <w:pPr>
        <w:pStyle w:val="FirstParagraph"/>
      </w:pPr>
      <w:r>
        <w:t xml:space="preserve">El documento tiene 6 secciones de primer nivel (Introducción y capítulos I a V); los capítulos II y III se descomponen en sus subsecciones reales, y la III.B a su vez en tres sub-subsecciones (las etiquetas de dimensión viven siempre en el nivel más profundo).</w:t>
      </w:r>
    </w:p>
    <w:bookmarkStart w:id="12" w:name="X86b7f0166fb2cf9f6043abbf407158f4c9050b3"/>
    <w:p>
      <w:pPr>
        <w:pStyle w:val="Heading3"/>
      </w:pPr>
      <w:r>
        <w:t xml:space="preserve">3.1 — Introducción (páginas 13-14)</w:t>
      </w:r>
    </w:p>
    <w:p>
      <w:pPr>
        <w:pStyle w:val="FirstParagraph"/>
      </w:pPr>
      <w:r>
        <w:t xml:space="preserve">Motiva el documento narrando el origen del CBAM: el EU-ETS, lanzado en 2005, redujo emisiones dentro de la UE pero sacó a la luz el riesgo de fuga de carbono, lo que llevó a la UE a anunciar el paquete Fit for 55 y, dentro de él, el mecanismo de ajuste en frontera por carbono (CBAM) —la primera tarifa transfronteriza de carbono del mundo—, dirigido inicialmente a cinco sectores (cemento, fertilizantes, hierro/acero, aluminio, electricidad/hidrógeno). Gira luego hacia la subregión (Costa Rica, Cuba, El Salvador, Guatemala, Haití, Honduras, México, Nicaragua, Panamá y República Dominicana) con un diagnóstico explícito de falta de preparación: pese a ser una de las regiones más vulnerables al cambio climático, mantiene subsidios fiscales altos a los combustibles fósiles, hay poco interés de los formuladores de política en instrumentos de fijación de precios del carbono, y la atención sigue concentrada en mitigación sin explotar el cruce entre política comercial y adaptación. Identifica como causa subyacente de todo lo anterior la falta de datos de emisiones desagregados y consistentes entre sectores y fronteras nacionales, que dificulta entender el impacto de la transición verde sobre cadenas de valor, sectores y fuerza laboral. Cierra anunciando la estructura del documento en cinco capítulos.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Contexto/antecedentes</w:t>
            </w:r>
          </w:p>
        </w:tc>
        <w:tc>
          <w:tcPr/>
          <w:p>
            <w:pPr>
              <w:pStyle w:val="Compact"/>
            </w:pPr>
            <w:r>
              <w:t xml:space="preserve">"ha sacado a la luz el riesgo de fuga de carbono y la necesidad de nivelar el campo comercial entre productores de la UE y de fuera de la UE"</w:t>
            </w:r>
          </w:p>
        </w:tc>
        <w:tc>
          <w:tcPr/>
          <w:p>
            <w:pPr>
              <w:pStyle w:val="Compact"/>
            </w:pPr>
            <w:r>
              <w:t xml:space="preserve">13</w:t>
            </w:r>
          </w:p>
        </w:tc>
      </w:tr>
      <w:tr>
        <w:tc>
          <w:tcPr/>
          <w:p>
            <w:pPr>
              <w:pStyle w:val="Compact"/>
            </w:pPr>
            <w:r>
              <w:t xml:space="preserve">Brechas de implementación (prospectiva)</w:t>
            </w:r>
          </w:p>
        </w:tc>
        <w:tc>
          <w:tcPr/>
          <w:p>
            <w:pPr>
              <w:pStyle w:val="Compact"/>
            </w:pPr>
            <w:r>
              <w:t xml:space="preserve">"los países de la subregión no están bien preparados para este cambio, ni otros relacionados con el cambio climático"</w:t>
            </w:r>
          </w:p>
        </w:tc>
        <w:tc>
          <w:tcPr/>
          <w:p>
            <w:pPr>
              <w:pStyle w:val="Compact"/>
            </w:pPr>
            <w:r>
              <w:t xml:space="preserve">13</w:t>
            </w:r>
          </w:p>
        </w:tc>
      </w:tr>
      <w:tr>
        <w:tc>
          <w:tcPr/>
          <w:p>
            <w:pPr>
              <w:pStyle w:val="Compact"/>
            </w:pPr>
            <w:r>
              <w:t xml:space="preserve">Diagnóstico estructural</w:t>
            </w:r>
          </w:p>
        </w:tc>
        <w:tc>
          <w:tcPr/>
          <w:p>
            <w:pPr>
              <w:pStyle w:val="Compact"/>
            </w:pPr>
            <w:r>
              <w:t xml:space="preserve">"Bajo todos estos desafíos subyace el problema persistente de la falta de datos desagregados y los cálculos inconsistentes, los cuales varían en diferentes sectores y fronteras nacionales"</w:t>
            </w:r>
          </w:p>
        </w:tc>
        <w:tc>
          <w:tcPr/>
          <w:p>
            <w:pPr>
              <w:pStyle w:val="Compact"/>
            </w:pPr>
            <w:r>
              <w:t xml:space="preserve">13-14</w:t>
            </w:r>
          </w:p>
        </w:tc>
      </w:tr>
    </w:tbl>
    <w:bookmarkEnd w:id="12"/>
    <w:bookmarkStart w:id="13" w:name="Xa712b9c4d614937f385c7f3c65dfa831a1286f3"/>
    <w:p>
      <w:pPr>
        <w:pStyle w:val="Heading3"/>
      </w:pPr>
      <w:r>
        <w:t xml:space="preserve">3.2 — I. El sistema de comercio de emisiones de la Unión Europea (páginas 15-18)</w:t>
      </w:r>
    </w:p>
    <w:p>
      <w:pPr>
        <w:pStyle w:val="FirstParagraph"/>
      </w:pPr>
      <w:r>
        <w:t xml:space="preserve">Explica el EU-ETS (sistema de comercio de derechos de emisión de la UE, adoptado en 2003 y en marcha desde 2005): tope de emisiones y derechos negociables (1 EUA = 1 tCO2eq), asignación vía subasta con cobertura de ~10.000 instalaciones estacionarias y aerolíneas, y su cuarta fase 2021-2030 alineada con la meta de reducir 55% las emisiones respecto de 1990 (elevada a 62% para los sectores cubiertos en el acuerdo provisional de diciembre de 2022, Recuadro 1). Registra que el sistema recaudó 34.326 millones de dólares en 2021 y que su monitoreo se apoya en los reglamentos de Monitoreo y Reporte y de Acreditación y Verificación, aunque no considera explícitamente las emisiones indirectas. Su función en el documento es fundacional: mostrar por qué el éxito interno del EU-ETS hizo visible la fuga de carbono y motivó el CBAM como medida complementaria. Es contexto puro sobre el instrumento europeo; todavía no analiza impacto en ALC.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Contexto/antecedentes</w:t>
            </w:r>
          </w:p>
        </w:tc>
        <w:tc>
          <w:tcPr/>
          <w:p>
            <w:pPr>
              <w:pStyle w:val="Compact"/>
            </w:pPr>
            <w:r>
              <w:t xml:space="preserve">"el sistema de comercio de derechos de emisión de la UE es el primer y hasta ahora el mayor sistema de tope y comercio (cap-and-trade) a nivel de instalación del mundo para reducir las emisiones de GEI"</w:t>
            </w:r>
          </w:p>
        </w:tc>
        <w:tc>
          <w:tcPr/>
          <w:p>
            <w:pPr>
              <w:pStyle w:val="Compact"/>
            </w:pPr>
            <w:r>
              <w:t xml:space="preserve">15</w:t>
            </w:r>
          </w:p>
        </w:tc>
      </w:tr>
    </w:tbl>
    <w:bookmarkEnd w:id="13"/>
    <w:bookmarkStart w:id="17" w:name="X90bba0cc564962b976256950a4780faf7622d64"/>
    <w:p>
      <w:pPr>
        <w:pStyle w:val="Heading3"/>
      </w:pPr>
      <w:r>
        <w:t xml:space="preserve">3.3 — II. El mecanismo de ajuste en frontera por carbono (páginas 19-32)</w:t>
      </w:r>
    </w:p>
    <w:p>
      <w:pPr>
        <w:pStyle w:val="FirstParagraph"/>
      </w:pPr>
      <w:r>
        <w:t xml:space="preserve">Describe en detalle el instrumento europeo —antecedentes políticos, características técnicas y estado legislativo del CBAM— como base para el análisis de impactos del capítulo III.</w:t>
      </w:r>
    </w:p>
    <w:bookmarkStart w:id="14" w:name="iia-antecedentes-páginas-19-24"/>
    <w:p>
      <w:pPr>
        <w:pStyle w:val="Heading4"/>
      </w:pPr>
      <w:r>
        <w:t xml:space="preserve">II.A Antecedentes (páginas 19-24)</w:t>
      </w:r>
    </w:p>
    <w:p>
      <w:pPr>
        <w:pStyle w:val="FirstParagraph"/>
      </w:pPr>
      <w:r>
        <w:t xml:space="preserve">Sitúa el CBAM dentro del paquete Fit for 55 (presentado el 14 de julio de 2021) y del Pacto Verde Europeo (diciembre de 2019, con un Plan de Inversión de más de 1 billón de euros y un Mecanismo de Transición Justa de ~55.000 millones de euros 2021-2027, Recuadro 2), con entrada en vigor prevista el 1 de octubre de 2023 y transición hasta 2026. Recorre las reacciones globales: preocupación por lavado verde y las directivas CSDD/CSRD que buscan contenerlo (Recuadro 3), denuncias de los BRICS y Australia por proteccionismo, la narrativa de "neocolonialismo climático", y respuestas positivas como el club climático del G7 (Recuadro 4), iniciativas similares en estudio en Canadá y Japón, y la taxonomía verde rusa. Cierra con el contrapunto subregional: el Plan de Acción de Santiago de la Coalición de Ministros de Hacienda y el proceso interministerial que produjo el Plan Nacional de Descarbonización 2018-2050 de Costa Rica. Su función es mostrar que el CBAM no es un hecho técnico aislado sino un catalizador de realineamientos regulatorios globales a los que la subregión llega tarde.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Contexto/antecedentes</w:t>
            </w:r>
          </w:p>
        </w:tc>
        <w:tc>
          <w:tcPr/>
          <w:p>
            <w:pPr>
              <w:pStyle w:val="Compact"/>
            </w:pPr>
            <w:r>
              <w:t xml:space="preserve">"Dentro del paquete Fit for 55, la UE ha introducido el mecanismo de ajuste en frontera por carbono como una herramienta histórica para abordar el riesgo de fuga de carbono"</w:t>
            </w:r>
          </w:p>
        </w:tc>
        <w:tc>
          <w:tcPr/>
          <w:p>
            <w:pPr>
              <w:pStyle w:val="Compact"/>
            </w:pPr>
            <w:r>
              <w:t xml:space="preserve">19</w:t>
            </w:r>
          </w:p>
        </w:tc>
      </w:tr>
      <w:tr>
        <w:tc>
          <w:tcPr/>
          <w:p>
            <w:pPr>
              <w:pStyle w:val="Compact"/>
            </w:pPr>
            <w:r>
              <w:t xml:space="preserve">Avances de implementación</w:t>
            </w:r>
          </w:p>
        </w:tc>
        <w:tc>
          <w:tcPr/>
          <w:p>
            <w:pPr>
              <w:pStyle w:val="Compact"/>
            </w:pPr>
            <w:r>
              <w:t xml:space="preserve">"el Ministerio de Energía y Ambiente (MINAE) de Costa Rica elaboró en 2019 el Plan Nacional de Descarbonización 2018-2050 de Costa Rica"</w:t>
            </w:r>
          </w:p>
        </w:tc>
        <w:tc>
          <w:tcPr/>
          <w:p>
            <w:pPr>
              <w:pStyle w:val="Compact"/>
            </w:pPr>
            <w:r>
              <w:t xml:space="preserve">24</w:t>
            </w:r>
          </w:p>
        </w:tc>
      </w:tr>
    </w:tbl>
    <w:bookmarkEnd w:id="14"/>
    <w:bookmarkStart w:id="15" w:name="X48fd21b2da3216b1fc802aefec8ec8b00d50fb9"/>
    <w:p>
      <w:pPr>
        <w:pStyle w:val="Heading4"/>
      </w:pPr>
      <w:r>
        <w:t xml:space="preserve">II.B Características principales (páginas 25-30)</w:t>
      </w:r>
    </w:p>
    <w:p>
      <w:pPr>
        <w:pStyle w:val="FirstParagraph"/>
      </w:pPr>
      <w:r>
        <w:t xml:space="preserve">Detalla la mecánica del CBAM en cinco componentes. Sectores: cinco rubros iniciales (hierro/acero, cemento, fertilizantes, aluminio, electricidad/hidrógeno) elegidos por sus indicadores de fuga de carbono (Cuadro 1), con intención declarada del Parlamento Europeo de sumar químicos y plásticos en 2026 y todos los sectores del EU-ETS en 2030. Pago: certificados calculados al precio promedio semanal de subasta del EU-ETS (~94 euros por tonelada de CO2 en febrero de 2023), con deducción íntegra si el productor demuestra haber pagado un precio al carbono en el país de origen. Emisiones: solo directas en la fase inicial e indirectas desde 2026 (Recuadro 6 sobre alcances 1, 2 y 3). Datos requeridos a los importadores: cantidad importada, emisiones directas e indirectas integradas y precio del carbono pagado en origen. Uso de recursos: 75% de los ingresos al presupuesto de la UE (~1.000 millones de euros anuales estimados entre 2026 y 2030), con fondos de Innovación, Modernización y Social para el Clima, pero sin apoyo explícito comprometido para productores de fuera de la UE (Recuadro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Contexto/antecedentes</w:t>
            </w:r>
          </w:p>
        </w:tc>
        <w:tc>
          <w:tcPr/>
          <w:p>
            <w:pPr>
              <w:pStyle w:val="Compact"/>
            </w:pPr>
            <w:r>
              <w:t xml:space="preserve">"los importadores deberán comprar certificados de carbono correspondientes al precio del carbono que se habría pagado si los bienes se hubieran producido bajo las normas de fijación de precios de carbono de la UE"</w:t>
            </w:r>
          </w:p>
        </w:tc>
        <w:tc>
          <w:tcPr/>
          <w:p>
            <w:pPr>
              <w:pStyle w:val="Compact"/>
            </w:pPr>
            <w:r>
              <w:t xml:space="preserve">28</w:t>
            </w:r>
          </w:p>
        </w:tc>
      </w:tr>
    </w:tbl>
    <w:bookmarkEnd w:id="15"/>
    <w:bookmarkStart w:id="16" w:name="iic-estado-de-legislación-páginas-31-32"/>
    <w:p>
      <w:pPr>
        <w:pStyle w:val="Heading4"/>
      </w:pPr>
      <w:r>
        <w:t xml:space="preserve">II.C Estado de legislación (páginas 31-32)</w:t>
      </w:r>
    </w:p>
    <w:p>
      <w:pPr>
        <w:pStyle w:val="FirstParagraph"/>
      </w:pPr>
      <w:r>
        <w:t xml:space="preserve">Reconstruye la cronología legislativa del CBAM (propuesta formal el 14 de julio de 2021; posiciones del Consejo el 15 de marzo de 2022 y del Parlamento el 22 de junio de 2022; acuerdo provisional del 13 de diciembre de 2022 pendiente de ratificación) y expone los cuestionamientos de compatibilidad con las normas de la OMC planteados por Bacchus (2021): posible violación de la regla de trato nacional (Artículos I y III:4 del GATT) y de la Lista de Compromisos (Artículo II), con la excepción general por razones ambientales como única defensa plausible. Advierte que un fallo adverso o el descontento de los miembros de la OMC podría desencadenar aranceles de represalia o nuevas disputas comerciales.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Contexto/antecedentes</w:t>
            </w:r>
          </w:p>
        </w:tc>
        <w:tc>
          <w:tcPr/>
          <w:p>
            <w:pPr>
              <w:pStyle w:val="Compact"/>
            </w:pPr>
            <w:r>
              <w:t xml:space="preserve">"La propuesta del mecanismo de ajuste en frontera por carbono fue presentada formalmente por la Comisión Europea el 14 de julio de 2021"</w:t>
            </w:r>
          </w:p>
        </w:tc>
        <w:tc>
          <w:tcPr/>
          <w:p>
            <w:pPr>
              <w:pStyle w:val="Compact"/>
            </w:pPr>
            <w:r>
              <w:t xml:space="preserve">31</w:t>
            </w:r>
          </w:p>
        </w:tc>
      </w:tr>
      <w:tr>
        <w:tc>
          <w:tcPr/>
          <w:p>
            <w:pPr>
              <w:pStyle w:val="Compact"/>
            </w:pPr>
            <w:r>
              <w:t xml:space="preserve">Diagnóstico estructural</w:t>
            </w:r>
          </w:p>
        </w:tc>
        <w:tc>
          <w:tcPr/>
          <w:p>
            <w:pPr>
              <w:pStyle w:val="Compact"/>
            </w:pPr>
            <w:r>
              <w:t xml:space="preserve">"puede haber una incompatibilidad con la regla de tratamiento nacional… El mecanismo de ajuste en frontera por carbono fijaría el precio del contenido de carbono de los productos producidos fuera de la UE y podría considerarse una discriminación entre productos importados similares de diferentes países de la OMC"</w:t>
            </w:r>
          </w:p>
        </w:tc>
        <w:tc>
          <w:tcPr/>
          <w:p>
            <w:pPr>
              <w:pStyle w:val="Compact"/>
            </w:pPr>
            <w:r>
              <w:t xml:space="preserve">31</w:t>
            </w:r>
          </w:p>
        </w:tc>
      </w:tr>
    </w:tbl>
    <w:bookmarkEnd w:id="16"/>
    <w:bookmarkEnd w:id="17"/>
    <w:bookmarkStart w:id="21" w:name="X45929b0815a9836a127b40d2e415a559cc4d5f3"/>
    <w:p>
      <w:pPr>
        <w:pStyle w:val="Heading3"/>
      </w:pPr>
      <w:r>
        <w:t xml:space="preserve">3.4 — III. Impactos potenciales (páginas 33-72)</w:t>
      </w:r>
    </w:p>
    <w:p>
      <w:pPr>
        <w:pStyle w:val="FirstParagraph"/>
      </w:pPr>
      <w:r>
        <w:t xml:space="preserve">Núcleo analítico del documento (~40 páginas): pasa de la literatura internacional sobre ajustes fronterizos de carbono a la cuantificación del impacto del CBAM sobre el comercio, el PIB y el empleo de la subregión, y de ahí a la evaluación de su preparación institucional y de sus espacios de coordinación y cooperación.</w:t>
      </w:r>
    </w:p>
    <w:bookmarkStart w:id="18" w:name="X753c3f8fe6ab02e6fdafc0b5105551c3dc40daf"/>
    <w:p>
      <w:pPr>
        <w:pStyle w:val="Heading4"/>
      </w:pPr>
      <w:r>
        <w:t xml:space="preserve">III.A Una visión general de la literatura (páginas 33-35)</w:t>
      </w:r>
    </w:p>
    <w:p>
      <w:pPr>
        <w:pStyle w:val="FirstParagraph"/>
      </w:pPr>
      <w:r>
        <w:t xml:space="preserve">Sintetiza la literatura académica sobre ajustes fronterizos de carbono (no específica a ALC): efectividad limitada y dependiente del diseño para reducir la fuga de carbono (Branger y Quirion, 2014: de un valor medio de 14% a 6% al aplicar el mecanismo), impacto ambiental global modesto (reducción de 0,10% a 1,51% de las emisiones mundiales según Zhong y Pei, 2022), e impactos económicos heterogéneos según la eficiencia de carbono y la exposición comercial de cada país. Destaca el riesgo distributivo: la carga recae sobre trabajadores de baja calificación, hogares de bajos ingresos y mujeres, que ocupan solo 20%-25% de los empleos en energías renovables. Su función es fijar el estándar analítico contra el cual se mide después el caso subregional.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Diagnóstico estructural</w:t>
            </w:r>
          </w:p>
        </w:tc>
        <w:tc>
          <w:tcPr/>
          <w:p>
            <w:pPr>
              <w:pStyle w:val="Compact"/>
            </w:pPr>
            <w:r>
              <w:t xml:space="preserve">"la tasa estimada de fuga de carbono variaba del 5% al 25%, con un valor medio del 14% sin mecanismo de ajuste en frontera por carbono y del -5% al 15%, con un valor medio del 6% al aplicar el mecanismo de ajuste en frontera por carbono"</w:t>
            </w:r>
          </w:p>
        </w:tc>
        <w:tc>
          <w:tcPr/>
          <w:p>
            <w:pPr>
              <w:pStyle w:val="Compact"/>
            </w:pPr>
            <w:r>
              <w:t xml:space="preserve">34</w:t>
            </w:r>
          </w:p>
        </w:tc>
      </w:tr>
      <w:tr>
        <w:tc>
          <w:tcPr/>
          <w:p>
            <w:pPr>
              <w:pStyle w:val="Compact"/>
            </w:pPr>
            <w:r>
              <w:t xml:space="preserve">Desafíos</w:t>
            </w:r>
          </w:p>
        </w:tc>
        <w:tc>
          <w:tcPr/>
          <w:p>
            <w:pPr>
              <w:pStyle w:val="Compact"/>
            </w:pPr>
            <w:r>
              <w:t xml:space="preserve">"las mujeres son frecuentemente excluidas de las oportunidades de empleo en los sectores de energía renovable, ocupando solo del 20% al 25% de las ocupaciones y concentrándose en puestos no técnicos"</w:t>
            </w:r>
          </w:p>
        </w:tc>
        <w:tc>
          <w:tcPr/>
          <w:p>
            <w:pPr>
              <w:pStyle w:val="Compact"/>
            </w:pPr>
            <w:r>
              <w:t xml:space="preserve">34</w:t>
            </w:r>
          </w:p>
        </w:tc>
      </w:tr>
    </w:tbl>
    <w:bookmarkEnd w:id="18"/>
    <w:bookmarkStart w:id="19" w:name="X9086a9ffaebf6e8cfa639206417aa56f8608c1f"/>
    <w:p>
      <w:pPr>
        <w:pStyle w:val="Heading4"/>
      </w:pPr>
      <w:r>
        <w:t xml:space="preserve">III.B Impactos potenciales y estado de preparación de la subregión (páginas 35-66)</w:t>
      </w:r>
    </w:p>
    <w:p>
      <w:pPr>
        <w:pStyle w:val="FirstParagraph"/>
      </w:pPr>
      <w:r>
        <w:t xml:space="preserve">Cuantifica con datos de UN COMTRADE el impacto del CBAM (versión actual y versión expandida hipotética) sobre el comercio, el PIB y el empleo de la subregión, y evalúa su estado de preparación en cuatro frentes institucionales. Se descompone en tres sub-apartados:</w:t>
      </w:r>
    </w:p>
    <w:p>
      <w:pPr>
        <w:pStyle w:val="BodyText"/>
      </w:pPr>
      <w:r>
        <w:rPr>
          <w:b/>
          <w:bCs/>
        </w:rPr>
        <w:t xml:space="preserve">III.B.1 Comercio de bienes (páginas 35-37).</w:t>
      </w:r>
      <w:r>
        <w:t xml:space="preserve"> </w:t>
      </w:r>
      <w:r>
        <w:t xml:space="preserve">Describe las tendencias de comercio exterior de la subregión (aumento de 129,9% en exportaciones y 124,9% en importaciones entre 2005 y 2021), la composición de su canasta exportadora —dominada por automóviles, vehículos y electrónica vía México, no por los sectores del CBAM (Cuadros 2 y 3)— y su concentración extrema en dos socios: los Estados Unidos absorben 74,1% de las exportaciones y 41,9% de las importaciones, mientras la UE representa apenas 4,3% de los destinos de exportación y 9,6% de las importaciones. Esta concentración es la base estructural del hallazgo de "impacto limitado" que domina el resto del documento, pero también del riesgo prospectivo si el CBAM se amplía a vehículos y maquinaria.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Tendencias</w:t>
            </w:r>
          </w:p>
        </w:tc>
        <w:tc>
          <w:tcPr/>
          <w:p>
            <w:pPr>
              <w:pStyle w:val="Compact"/>
            </w:pPr>
            <w:r>
              <w:t xml:space="preserve">"Entre 2005 y 2021, los países de la subregión experimentaron un aumento promedio del 129,9% en sus exportaciones globales y un aumento del 124,9% en sus importaciones"</w:t>
            </w:r>
          </w:p>
        </w:tc>
        <w:tc>
          <w:tcPr/>
          <w:p>
            <w:pPr>
              <w:pStyle w:val="Compact"/>
            </w:pPr>
            <w:r>
              <w:t xml:space="preserve">35</w:t>
            </w:r>
          </w:p>
        </w:tc>
      </w:tr>
      <w:tr>
        <w:tc>
          <w:tcPr/>
          <w:p>
            <w:pPr>
              <w:pStyle w:val="Compact"/>
            </w:pPr>
            <w:r>
              <w:t xml:space="preserve">Diagnóstico estructural</w:t>
            </w:r>
          </w:p>
        </w:tc>
        <w:tc>
          <w:tcPr/>
          <w:p>
            <w:pPr>
              <w:pStyle w:val="Compact"/>
            </w:pPr>
            <w:r>
              <w:t xml:space="preserve">"El volumen de comercio está muy concentrado en los Estados Unidos y China, lo que deja relativamente poco espacio para la UE. Como referencia, los 27 países de la UE representaron en conjunto el 4,3% de los destinos de las exportaciones de los países de la subregión y el 9,6% de sus importaciones en 2021"</w:t>
            </w:r>
          </w:p>
        </w:tc>
        <w:tc>
          <w:tcPr/>
          <w:p>
            <w:pPr>
              <w:pStyle w:val="Compact"/>
            </w:pPr>
            <w:r>
              <w:t xml:space="preserve">37</w:t>
            </w:r>
          </w:p>
        </w:tc>
      </w:tr>
    </w:tbl>
    <w:p>
      <w:pPr>
        <w:pStyle w:val="BodyText"/>
      </w:pPr>
      <w:r>
        <w:rPr>
          <w:b/>
          <w:bCs/>
        </w:rPr>
        <w:t xml:space="preserve">III.B.2 Comercio de bienes con la UE: impacto del CBAM (páginas 38-51).</w:t>
      </w:r>
      <w:r>
        <w:t xml:space="preserve"> </w:t>
      </w:r>
      <w:r>
        <w:t xml:space="preserve">Cuantifica con datos propios (UN COMTRADE) el impacto directo del CBAM en su versión actual y en una versión expandida hipotética. En la versión actual, los sectores cubiertos representan en promedio 0,09% de las exportaciones de la subregión a la UE (y solo 0,011% de sus exportaciones al mundo), concentrados casi enteramente en hierro y acero (97,6% de las exportaciones CBAM a la UE) y en dos países: Costa Rica (~0,7% de sus exportaciones a la UE) y República Dominicana (~0,3%); México, pese a exportar 6.900 millones de dólares en hierro y acero, dirige el 94,3% a los Estados Unidos. En la versión expandida (metales, cal, vidrio, cerámica, pulpa/papel y químicos orgánicos), el país más afectado sería Panamá, donde esos sectores representarían 0,46% del PIB, encabezados por metales. La sección advierte tres canales de riesgo más profundos: la expansión futura del CBAM a productos derivados (automóviles, maquinaria) en cuyas cadenas de valor la subregión sí participa, la adopción de esquemas similares por los Estados Unidos, y la carga administrativa y financiera de medir y verificar emisiones, que golpearía especialmente a las pymes. Traslada luego el análisis al empleo: la OIT estima +100.000 empleos en energías renovables, +540.000 en construcción por eficiencia energética y +120.000 en manufactura baja en carbono para ALC en el escenario de descarbonización, contra pérdidas de empleo en sectores intensivos en carbono (Gráfico 14) con alta informalidad (Gráfico 15). Cierra con la dimensión de género: las mujeres son 39,9% del empleo subregional pero menos del 25% de la fuerza laboral en sectores clave de la transición verde y menos del 35% de los graduados STEM, mientras la OIT estima que más del 80% de los nuevos empleos de la descarbonización surgirán en sectores dominados por hombres; de ahí la recomendación de políticas laborales activas y pasivas y de representación equilibrada desde el diseño (Recuadro 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Estado de situación</w:t>
            </w:r>
          </w:p>
        </w:tc>
        <w:tc>
          <w:tcPr/>
          <w:p>
            <w:pPr>
              <w:pStyle w:val="Compact"/>
            </w:pPr>
            <w:r>
              <w:t xml:space="preserve">"la exportación de los sectores del mecanismo de ajuste en frontera por carbono a la UE representó un promedio de 0,011% en relación con las exportaciones totales de la subregión al mundo… la subregión mostró un promedio de 0,09% en relación con la exportación total a la UE"</w:t>
            </w:r>
          </w:p>
        </w:tc>
        <w:tc>
          <w:tcPr/>
          <w:p>
            <w:pPr>
              <w:pStyle w:val="Compact"/>
            </w:pPr>
            <w:r>
              <w:t xml:space="preserve">38</w:t>
            </w:r>
          </w:p>
        </w:tc>
      </w:tr>
      <w:tr>
        <w:tc>
          <w:tcPr/>
          <w:p>
            <w:pPr>
              <w:pStyle w:val="Compact"/>
            </w:pPr>
            <w:r>
              <w:t xml:space="preserve">Estado de situación</w:t>
            </w:r>
          </w:p>
        </w:tc>
        <w:tc>
          <w:tcPr/>
          <w:p>
            <w:pPr>
              <w:pStyle w:val="Compact"/>
            </w:pPr>
            <w:r>
              <w:t xml:space="preserve">"Panamá fue el más afectado, con los sectores del mecanismo de ajuste en frontera por carbono representando un total del 0,46% del PIB del país en 2021"</w:t>
            </w:r>
          </w:p>
        </w:tc>
        <w:tc>
          <w:tcPr/>
          <w:p>
            <w:pPr>
              <w:pStyle w:val="Compact"/>
            </w:pPr>
            <w:r>
              <w:t xml:space="preserve">50</w:t>
            </w:r>
          </w:p>
        </w:tc>
      </w:tr>
      <w:tr>
        <w:tc>
          <w:tcPr/>
          <w:p>
            <w:pPr>
              <w:pStyle w:val="Compact"/>
            </w:pPr>
            <w:r>
              <w:t xml:space="preserve">Oportunidades</w:t>
            </w:r>
          </w:p>
        </w:tc>
        <w:tc>
          <w:tcPr/>
          <w:p>
            <w:pPr>
              <w:pStyle w:val="Compact"/>
            </w:pPr>
            <w:r>
              <w:t xml:space="preserve">"el empleo en el sector de las energías renovables agregaría 22% más de empleos en el escenario de descarbonización en comparación con el escenario de altas emisiones, lo que representaría 100.000 empleos adicionales en la región de ALC"</w:t>
            </w:r>
          </w:p>
        </w:tc>
        <w:tc>
          <w:tcPr/>
          <w:p>
            <w:pPr>
              <w:pStyle w:val="Compact"/>
            </w:pPr>
            <w:r>
              <w:t xml:space="preserve">44-45</w:t>
            </w:r>
          </w:p>
        </w:tc>
      </w:tr>
      <w:tr>
        <w:tc>
          <w:tcPr/>
          <w:p>
            <w:pPr>
              <w:pStyle w:val="Compact"/>
            </w:pPr>
            <w:r>
              <w:t xml:space="preserve">Desafíos</w:t>
            </w:r>
          </w:p>
        </w:tc>
        <w:tc>
          <w:tcPr/>
          <w:p>
            <w:pPr>
              <w:pStyle w:val="Compact"/>
            </w:pPr>
            <w:r>
              <w:t xml:space="preserve">"la OIT estimó que más del 80% de los nuevos empleos que surgirán de los diferentes programas de descarbonización estarán en sectores que actualmente están dominados por hombres"</w:t>
            </w:r>
          </w:p>
        </w:tc>
        <w:tc>
          <w:tcPr/>
          <w:p>
            <w:pPr>
              <w:pStyle w:val="Compact"/>
            </w:pPr>
            <w:r>
              <w:t xml:space="preserve">47</w:t>
            </w:r>
          </w:p>
        </w:tc>
      </w:tr>
    </w:tbl>
    <w:p>
      <w:pPr>
        <w:pStyle w:val="BodyText"/>
      </w:pPr>
      <w:r>
        <w:rPr>
          <w:b/>
          <w:bCs/>
        </w:rPr>
        <w:t xml:space="preserve">III.B.3 Estado de preparación subregional (páginas 52-66).</w:t>
      </w:r>
      <w:r>
        <w:t xml:space="preserve"> </w:t>
      </w:r>
      <w:r>
        <w:t xml:space="preserve">Evalúa cuatro dimensiones de preparación institucional. (a) Vulnerabilidad climática: 8 de los 10 países de la subregión están entre los 100 más vulnerables del índice de la Universidad de Notre Dame y solo Costa Rica figura entre los 100 más preparados, con dependencia fiscal de combustibles fósiles y de exportaciones agrícolas que agrava la exposición a la transición energética. (b) Matriz energética: la subregión tiene 51,94% de generación eléctrica renovable en promedio —casi el doble del 27,67% mundial—, liderada por Costa Rica (99,8%), El Salvador (84,6%) y Panamá (75,91%), documentada como ventaja de partida subaprovechada que podría incluso atraer relocalización de empresas que buscan reducir su huella; el cuello de botella es la escasez de datos de emisiones indirectas a nivel de producto (Recuadro 9), que a la vez abre un nicho de negocio de medición y verificación. (c) Políticas fiscales climáticas: pese a planes nacionales en curso (descarbonización de Costa Rica, estrategias de El Salvador, Guatemala, México y Panamá), la subregión sostuvo 55.400 millones de dólares en subsidios energéticos en 2021 (3% del PIB, con El Salvador a la cabeza con 4,4%), solo 4 países de ALC (Argentina, Chile, Colombia y México) tienen impuestos al carbono —a tasas muy inferiores al promedio OCDE/G7, con el caso pionero de Chile en el Recuadro 10—, el impuesto implícito más alto es el de Costa Rica (46,98 euros/tCO2eq vía combustibles) y la recaudación ambiental total fue de 21.500 millones de dólares (1,4% del PIB) en 2019, sesgada hacia impuestos a la energía. (d) Sistemas de comercio de emisiones: solo México tiene uno (piloto desde 2020, 0,63% de las emisiones globales del país, Recuadro 11), mientras Brasil, Chile y Colombia lo tienen "bajo consideración" sin fecha.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Diagnóstico estructural</w:t>
            </w:r>
          </w:p>
        </w:tc>
        <w:tc>
          <w:tcPr/>
          <w:p>
            <w:pPr>
              <w:pStyle w:val="Compact"/>
            </w:pPr>
            <w:r>
              <w:t xml:space="preserve">"8 de 10 estados miembros de la subregión se encuentran entre los 100 países más vulnerables, mientras que solo Costa Rica está entre los 100 más preparados"</w:t>
            </w:r>
          </w:p>
        </w:tc>
        <w:tc>
          <w:tcPr/>
          <w:p>
            <w:pPr>
              <w:pStyle w:val="Compact"/>
            </w:pPr>
            <w:r>
              <w:t xml:space="preserve">52</w:t>
            </w:r>
          </w:p>
        </w:tc>
      </w:tr>
      <w:tr>
        <w:tc>
          <w:tcPr/>
          <w:p>
            <w:pPr>
              <w:pStyle w:val="Compact"/>
            </w:pPr>
            <w:r>
              <w:t xml:space="preserve">Avances de implementación</w:t>
            </w:r>
          </w:p>
        </w:tc>
        <w:tc>
          <w:tcPr/>
          <w:p>
            <w:pPr>
              <w:pStyle w:val="Compact"/>
            </w:pPr>
            <w:r>
              <w:t xml:space="preserve">"la subregión mostró un promedio simple de 51,94%, que fue casi el doble del porcentaje mundial (27,67%) en 2021. Costa Rica ha estado liderando esta tendencia con un 99,8% de su generación eléctrica a partir de energías renovables"</w:t>
            </w:r>
          </w:p>
        </w:tc>
        <w:tc>
          <w:tcPr/>
          <w:p>
            <w:pPr>
              <w:pStyle w:val="Compact"/>
            </w:pPr>
            <w:r>
              <w:t xml:space="preserve">56</w:t>
            </w:r>
          </w:p>
        </w:tc>
      </w:tr>
      <w:tr>
        <w:tc>
          <w:tcPr/>
          <w:p>
            <w:pPr>
              <w:pStyle w:val="Compact"/>
            </w:pPr>
            <w:r>
              <w:t xml:space="preserve">Avances de implementación</w:t>
            </w:r>
          </w:p>
        </w:tc>
        <w:tc>
          <w:tcPr/>
          <w:p>
            <w:pPr>
              <w:pStyle w:val="Compact"/>
            </w:pPr>
            <w:r>
              <w:t xml:space="preserve">"El sistema de comercio de derechos de emisión piloto de México, que comenzó a operar en enero de 2020, cubre las emisiones directas de CO2 de las entidades de los sectores energético e industrial que generan al menos 100.000 tCO2 por año"</w:t>
            </w:r>
          </w:p>
        </w:tc>
        <w:tc>
          <w:tcPr/>
          <w:p>
            <w:pPr>
              <w:pStyle w:val="Compact"/>
            </w:pPr>
            <w:r>
              <w:t xml:space="preserve">64</w:t>
            </w:r>
          </w:p>
        </w:tc>
      </w:tr>
      <w:tr>
        <w:tc>
          <w:tcPr/>
          <w:p>
            <w:pPr>
              <w:pStyle w:val="Compact"/>
            </w:pPr>
            <w:r>
              <w:t xml:space="preserve">Brechas de implementación (prospectiva)</w:t>
            </w:r>
          </w:p>
        </w:tc>
        <w:tc>
          <w:tcPr/>
          <w:p>
            <w:pPr>
              <w:pStyle w:val="Compact"/>
            </w:pPr>
            <w:r>
              <w:t xml:space="preserve">"en 2021, los países de la subregión invirtieron alrededor de 55.400 millones de dólares en subsidios energéticos (tanto explícitos como implícitos), lo que equivale en promedio al 3% del PIB de la subregión"</w:t>
            </w:r>
          </w:p>
        </w:tc>
        <w:tc>
          <w:tcPr/>
          <w:p>
            <w:pPr>
              <w:pStyle w:val="Compact"/>
            </w:pPr>
            <w:r>
              <w:t xml:space="preserve">60</w:t>
            </w:r>
          </w:p>
        </w:tc>
      </w:tr>
      <w:tr>
        <w:tc>
          <w:tcPr/>
          <w:p>
            <w:pPr>
              <w:pStyle w:val="Compact"/>
            </w:pPr>
            <w:r>
              <w:t xml:space="preserve">Brechas de implementación (prospectiva)</w:t>
            </w:r>
          </w:p>
        </w:tc>
        <w:tc>
          <w:tcPr/>
          <w:p>
            <w:pPr>
              <w:pStyle w:val="Compact"/>
            </w:pPr>
            <w:r>
              <w:t xml:space="preserve">"Solo cuatro países de la región (Argentina, Chile, Colombia y México…) cuentan con iniciativas de impuestos al carbono"</w:t>
            </w:r>
          </w:p>
        </w:tc>
        <w:tc>
          <w:tcPr/>
          <w:p>
            <w:pPr>
              <w:pStyle w:val="Compact"/>
            </w:pPr>
            <w:r>
              <w:t xml:space="preserve">61</w:t>
            </w:r>
          </w:p>
        </w:tc>
      </w:tr>
    </w:tbl>
    <w:bookmarkEnd w:id="19"/>
    <w:bookmarkStart w:id="20" w:name="X28e008218f1d7b8220ffc7f575d6fd06d7cf648"/>
    <w:p>
      <w:pPr>
        <w:pStyle w:val="Heading4"/>
      </w:pPr>
      <w:r>
        <w:t xml:space="preserve">III.C Coordinación y cooperación en políticas de comercio climático (páginas 67-72)</w:t>
      </w:r>
    </w:p>
    <w:p>
      <w:pPr>
        <w:pStyle w:val="FirstParagraph"/>
      </w:pPr>
      <w:r>
        <w:t xml:space="preserve">Mapea la arquitectura de coordinación disponible y sus vacíos. A nivel global, registra la expansión de acuerdos comerciales regionales con cláusulas climáticas (Gráfico 28) y de iniciativas de coherencia en precios al carbono. A nivel regional, constata la fragmentación institucional de ALC en los foros climáticos (Diagrama 1: participación dispersa en G77+China, AILAC, ALBA, AOSIS, OPEP) pese a que MERCOSUR, CARICOM y SICA destacan la cooperación ambiental, y releva los tratados de libre comercio de la subregión con elementos de protección ambiental (Cuadro 7). Como referente extrarregional, documenta los diálogos bilaterales ya en curso con la UE: la República de Corea creó un "Consejo de Acero del CBAM" (julio de 2021) y un "Grupo Asesor de Comercio de Carbono" (enero de 2021) y discute un "Consejo de Hidrógeno Corea-UE" (Recuadro 13), mientras Canadá y Japón negocian sus propios canales (Cuadro 8). Para la subregión, en cambio, solo registra que México ha expresado interés en colaborar con la UE en energías renovables y transporte sostenible, y cierra recomendando cooperación intersectorial con el sector privado (86% de las multinacionales encuestadas en ALC integra el cambio climático en su estrategia) y políticas verdes centradas en el ser humano.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Diagnóstico estructural</w:t>
            </w:r>
          </w:p>
        </w:tc>
        <w:tc>
          <w:tcPr/>
          <w:p>
            <w:pPr>
              <w:pStyle w:val="Compact"/>
            </w:pPr>
            <w:r>
              <w:t xml:space="preserve">"aunque la región de ALC ha participado en numerosos foros de negociación relacionados con el clima, ha carecido de una voz unificada en el escenario internacional, lo que ha resultado en la fragmentación del proceso de integración regional"</w:t>
            </w:r>
          </w:p>
        </w:tc>
        <w:tc>
          <w:tcPr/>
          <w:p>
            <w:pPr>
              <w:pStyle w:val="Compact"/>
            </w:pPr>
            <w:r>
              <w:t xml:space="preserve">69</w:t>
            </w:r>
          </w:p>
        </w:tc>
      </w:tr>
      <w:tr>
        <w:tc>
          <w:tcPr/>
          <w:p>
            <w:pPr>
              <w:pStyle w:val="Compact"/>
            </w:pPr>
            <w:r>
              <w:t xml:space="preserve">Contexto/antecedentes</w:t>
            </w:r>
          </w:p>
        </w:tc>
        <w:tc>
          <w:tcPr/>
          <w:p>
            <w:pPr>
              <w:pStyle w:val="Compact"/>
            </w:pPr>
            <w:r>
              <w:t xml:space="preserve">"se creó un Consejo de Acero del mecanismo de ajuste en frontera por carbono en julio de 2021, seguido de un Grupo Asesor de Comercio de Carbono en enero de 2021, con el objetivo de asegurar una comunicación continua y discutir posibles medidas a tomar"</w:t>
            </w:r>
          </w:p>
        </w:tc>
        <w:tc>
          <w:tcPr/>
          <w:p>
            <w:pPr>
              <w:pStyle w:val="Compact"/>
            </w:pPr>
            <w:r>
              <w:t xml:space="preserve">71</w:t>
            </w:r>
          </w:p>
        </w:tc>
      </w:tr>
      <w:tr>
        <w:tc>
          <w:tcPr/>
          <w:p>
            <w:pPr>
              <w:pStyle w:val="Compact"/>
            </w:pPr>
            <w:r>
              <w:t xml:space="preserve">Oportunidades</w:t>
            </w:r>
          </w:p>
        </w:tc>
        <w:tc>
          <w:tcPr/>
          <w:p>
            <w:pPr>
              <w:pStyle w:val="Compact"/>
            </w:pPr>
            <w:r>
              <w:t xml:space="preserve">"En el caso de México, se han explorado oportunidades de colaboración en iniciativas climáticas que van más allá del mecanismo de ajuste en frontera por carbono, tales como la energía renovable y el transporte sostenible"</w:t>
            </w:r>
          </w:p>
        </w:tc>
        <w:tc>
          <w:tcPr/>
          <w:p>
            <w:pPr>
              <w:pStyle w:val="Compact"/>
            </w:pPr>
            <w:r>
              <w:t xml:space="preserve">71</w:t>
            </w:r>
          </w:p>
        </w:tc>
      </w:tr>
    </w:tbl>
    <w:bookmarkEnd w:id="20"/>
    <w:bookmarkEnd w:id="21"/>
    <w:bookmarkStart w:id="22" w:name="Xac3087de9cebed6b080c58e3c3574926cefa78d"/>
    <w:p>
      <w:pPr>
        <w:pStyle w:val="Heading3"/>
      </w:pPr>
      <w:r>
        <w:t xml:space="preserve">3.5 — IV. Implicaciones y recomendaciones (páginas 73-78)</w:t>
      </w:r>
    </w:p>
    <w:p>
      <w:pPr>
        <w:pStyle w:val="FirstParagraph"/>
      </w:pPr>
      <w:r>
        <w:t xml:space="preserve">Presenta 8 puntos de acción para preparar a la subregión ante el CBAM y esquemas similares, partiendo del diagnóstico de que el enfoque requiere una perspectiva holística que exceda comercio y energía. Cuatro puntos nombran instrumento, tecnología o programa identificable: mejorar la recopilación y verificación de datos de emisiones apoyándose en blockchain (Recuadro 14); políticas activas y pasivas de mercado laboral con programas nombrados (formación profesional, seguro médico universal, apoyo financiero por desempleo, revisión curricular con foco STEM); asociación con el sector privado bajo en carbono citando precio interno del carbono, metas voluntarias y el caso real de CANACEM, cuyo plan busca reducir 17% las emisiones del cemento a 2030, elevar el coprocesamiento a 32% y recortar 66% el contenido de clínker (Recuadro 15); y políticas fiscales climáticas nombrando sistema de comercio de emisiones, impuestos al carbono y bonos verdes/sociales/catastróficos, con eliminación gradual de subsidios fósiles. Los otros cuatro permanecen en lenguaje de "debería/podría" sin mecanismo específico: representación equilibrada entre partes interesadas, análisis de cadena de suministro más allá de los sectores CBAM, integración de la adaptación climática con la política comercial, y actualización de acuerdos comerciales con consideraciones climáticas.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Propuestas de política</w:t>
            </w:r>
          </w:p>
        </w:tc>
        <w:tc>
          <w:tcPr/>
          <w:p>
            <w:pPr>
              <w:pStyle w:val="Compact"/>
            </w:pPr>
            <w:r>
              <w:t xml:space="preserve">"A mediano y largo plazo, se podrían considerar políticas fiscales ambientales proactivas como el sistema de comercio de derechos de emisión o los impuestos al carbono"</w:t>
            </w:r>
          </w:p>
        </w:tc>
        <w:tc>
          <w:tcPr/>
          <w:p>
            <w:pPr>
              <w:pStyle w:val="Compact"/>
            </w:pPr>
            <w:r>
              <w:t xml:space="preserve">76</w:t>
            </w:r>
          </w:p>
        </w:tc>
      </w:tr>
      <w:tr>
        <w:tc>
          <w:tcPr/>
          <w:p>
            <w:pPr>
              <w:pStyle w:val="Compact"/>
            </w:pPr>
            <w:r>
              <w:t xml:space="preserve">Avances de implementación</w:t>
            </w:r>
          </w:p>
        </w:tc>
        <w:tc>
          <w:tcPr/>
          <w:p>
            <w:pPr>
              <w:pStyle w:val="Compact"/>
            </w:pPr>
            <w:r>
              <w:t xml:space="preserve">"En 2023, CANACEM anunció un Plan de Acción actualizado hacia una Economía Baja en Carbono… destaca que las acciones ayudarán a reducir las emisiones de GEI provenientes de la industria del cemento 17% en 2030 en comparación con los niveles de 2016"</w:t>
            </w:r>
          </w:p>
        </w:tc>
        <w:tc>
          <w:tcPr/>
          <w:p>
            <w:pPr>
              <w:pStyle w:val="Compact"/>
            </w:pPr>
            <w:r>
              <w:t xml:space="preserve">76</w:t>
            </w:r>
          </w:p>
        </w:tc>
      </w:tr>
    </w:tbl>
    <w:bookmarkEnd w:id="22"/>
    <w:bookmarkStart w:id="23" w:name="X10daa771ffaa11de78058e9ab2a8b623cfc1e6d"/>
    <w:p>
      <w:pPr>
        <w:pStyle w:val="Heading3"/>
      </w:pPr>
      <w:r>
        <w:t xml:space="preserve">3.6 — V. Conclusiones (páginas 79-80)</w:t>
      </w:r>
    </w:p>
    <w:p>
      <w:pPr>
        <w:pStyle w:val="FirstParagraph"/>
      </w:pPr>
      <w:r>
        <w:t xml:space="preserve">Reafirma que el impacto inmediato del CBAM será limitado, pero advierte que el problema se agravaría si su cobertura se amplía a productos derivados más complejos (automóviles, maquinaria) o si socios dominantes como los Estados Unidos adoptan esquemas similares. Llama a una preparación de mediano y largo plazo: capacidad de medir, verificar e informar emisiones a nivel de producto, inversión en I+D y transferencia tecnológica, y aprovechamiento de la cooperación intrarregional y de la matriz renovable como punto de partida ventajoso. Cierra pidiendo enfoques holísticos que vinculen mitigación, adaptación climática y política comercial en toda la cadena de valor, con atención a las poblaciones más vulnerables, la igualdad vocacional de género y la formalización de la economía informal.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Cita textual</w:t>
            </w:r>
          </w:p>
        </w:tc>
        <w:tc>
          <w:tcPr/>
          <w:p>
            <w:pPr>
              <w:pStyle w:val="Compact"/>
            </w:pPr>
            <w:r>
              <w:t xml:space="preserve">Página</w:t>
            </w:r>
          </w:p>
        </w:tc>
      </w:tr>
      <w:tr>
        <w:tc>
          <w:tcPr/>
          <w:p>
            <w:pPr>
              <w:pStyle w:val="Compact"/>
            </w:pPr>
            <w:r>
              <w:t xml:space="preserve">Desafíos</w:t>
            </w:r>
          </w:p>
        </w:tc>
        <w:tc>
          <w:tcPr/>
          <w:p>
            <w:pPr>
              <w:pStyle w:val="Compact"/>
            </w:pPr>
            <w:r>
              <w:t xml:space="preserve">"el problema se convertiría mucho más grave si, en el futuro, la cobertura del mecanismo de ajuste en frontera por carbono se amplía a otros sectores y, particularmente, a productos derivados más complejos, como automóviles y maquinarias"</w:t>
            </w:r>
          </w:p>
        </w:tc>
        <w:tc>
          <w:tcPr/>
          <w:p>
            <w:pPr>
              <w:pStyle w:val="Compact"/>
            </w:pPr>
            <w:r>
              <w:t xml:space="preserve">79</w:t>
            </w:r>
          </w:p>
        </w:tc>
      </w:tr>
      <w:tr>
        <w:tc>
          <w:tcPr/>
          <w:p>
            <w:pPr>
              <w:pStyle w:val="Compact"/>
            </w:pPr>
            <w:r>
              <w:t xml:space="preserve">Oportunidades</w:t>
            </w:r>
          </w:p>
        </w:tc>
        <w:tc>
          <w:tcPr/>
          <w:p>
            <w:pPr>
              <w:pStyle w:val="Compact"/>
            </w:pPr>
            <w:r>
              <w:t xml:space="preserve">"la subregión ha tenido un buen comienzo considerando su uso y generación relativamente altos de energía renovable"</w:t>
            </w:r>
          </w:p>
        </w:tc>
        <w:tc>
          <w:tcPr/>
          <w:p>
            <w:pPr>
              <w:pStyle w:val="Compact"/>
            </w:pPr>
            <w:r>
              <w:t xml:space="preserve">80</w:t>
            </w:r>
          </w:p>
        </w:tc>
      </w:tr>
    </w:tbl>
    <w:bookmarkEnd w:id="23"/>
    <w:bookmarkEnd w:id="24"/>
    <w:bookmarkStart w:id="29" w:name="X2192199725c80765cce938f59639f7854a5c5d3"/>
    <w:p>
      <w:pPr>
        <w:pStyle w:val="Heading2"/>
      </w:pPr>
      <w:r>
        <w:t xml:space="preserve">4. Interpelación institucional (nivel: documento completo)</w:t>
      </w:r>
    </w:p>
    <w:bookmarkStart w:id="25" w:name="X546bbdd4ecd42991faf237d056fcb152101f15e"/>
    <w:p>
      <w:pPr>
        <w:pStyle w:val="Heading3"/>
      </w:pPr>
      <w:r>
        <w:t xml:space="preserve">Criterio i — ¿Promueve el gran impulso ambiental con elementos concretos? →</w:t>
      </w:r>
      <w:r>
        <w:t xml:space="preserve"> </w:t>
      </w:r>
      <w:r>
        <w:rPr>
          <w:b/>
          <w:bCs/>
        </w:rPr>
        <w:t xml:space="preserve">Parcial</w:t>
      </w:r>
    </w:p>
    <w:p>
      <w:pPr>
        <w:pStyle w:val="FirstParagraph"/>
      </w:pPr>
      <w:r>
        <w:rPr>
          <w:b/>
          <w:bCs/>
        </w:rPr>
        <w:t xml:space="preserve">Razonamiento:</w:t>
      </w:r>
      <w:r>
        <w:t xml:space="preserve"> </w:t>
      </w:r>
      <w:r>
        <w:t xml:space="preserve">Evaluado contra las tres pruebas derivadas de</w:t>
      </w:r>
      <w:r>
        <w:t xml:space="preserve"> </w:t>
      </w:r>
      <w:r>
        <w:rPr>
          <w:i/>
          <w:iCs/>
        </w:rPr>
        <w:t xml:space="preserve">Horizontes 2030</w:t>
      </w:r>
      <w:r>
        <w:t xml:space="preserve">. Prueba 1 —inversión masiva y coordinada, no reformas fragmentadas—: NO PASA. El documento no propone un paquete coordinado de inversiones y políticas simultáneas; su agenda es de preparación gradual y reactiva ante un instrumento externo (el CBAM europeo), formulada en condicional ("a mediano y largo plazo, se podrían considerar…") y con ~18 páginas (capítulos I-II) dedicadas a describir el instrumento de la UE, no una propuesta autónoma de transformación del modelo de desarrollo. Prueba 2 —sectores estratégicos nombrados con instrumento identificable—: PASA PARCIALMENTE. Nombra instrumentos fiscales concretos (sistema de comercio de derechos de emisión, impuestos al carbono, bonos verdes/sociales/catastróficos, eliminación gradual de subsidios a combustibles fósiles, p.76-77) y actividades específicas (aprovechamiento de la matriz renovable, gestión de datos de emisiones vía blockchain, coprocesamiento en la industria cementera), pero como medidas sectoriales sueltas, sin lógica de despegue conjunto. Prueba 3 —las tres eficiencias—: PASA PARCIALMENTE. Conecta la agenda con la eficiencia de empleo/demanda (empleo verde con cifras OIT, políticas de mercado laboral, brecha de género) y con la ambiental (descarbonización, desacople vía matriz renovable), y solo tangencialmente con la tecnológica (educación STEM e I+D verde como aspiración, sin instrumento de política tecnológica). Como "Sí" exige la prueba 1 más al menos una de las otras dos, y la prueba 1 está ausente, el veredicto queda en "Parcial": instrumentos nombrados pero sectoriales, dentro de un documento que es mayormente diagnóstico de un instrumento externo.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"A mediano y largo plazo, se podrían considerar políticas fiscales ambientales proactivas como el sistema de comercio de derechos de emisión o los impuestos al carbono. Estas políticas no solo ayudarían a expandir el conjunto de recursos financieros públicos, sino que también ayudarían a mejorar el costo y la competitividad comercial de los productos nacionales"</w:t>
            </w:r>
          </w:p>
        </w:tc>
        <w:tc>
          <w:tcPr/>
          <w:p>
            <w:pPr>
              <w:pStyle w:val="Compact"/>
            </w:pPr>
            <w:r>
              <w:t xml:space="preserve">76</w:t>
            </w:r>
          </w:p>
        </w:tc>
      </w:tr>
      <w:tr>
        <w:tc>
          <w:tcPr/>
          <w:p>
            <w:pPr>
              <w:pStyle w:val="Compact"/>
            </w:pPr>
            <w:r>
              <w:t xml:space="preserve">"Estas políticas fiscales también podrían sentar las bases para herramientas de financiación más innovadoras como verdes, sociales, sostenibles y relacionadas con la sostenibilidad, así como bonos catastróficos, a largo plazo"</w:t>
            </w:r>
          </w:p>
        </w:tc>
        <w:tc>
          <w:tcPr/>
          <w:p>
            <w:pPr>
              <w:pStyle w:val="Compact"/>
            </w:pPr>
            <w:r>
              <w:t xml:space="preserve">77</w:t>
            </w:r>
          </w:p>
        </w:tc>
      </w:tr>
      <w:tr>
        <w:tc>
          <w:tcPr/>
          <w:p>
            <w:pPr>
              <w:pStyle w:val="Compact"/>
            </w:pPr>
            <w:r>
              <w:t xml:space="preserve">"será crucial que los países de la subregión estén mejor preparados para la implementación del mecanismo de ajuste en frontera por carbono y otras iniciativas de comercio climático similares"</w:t>
            </w:r>
          </w:p>
        </w:tc>
        <w:tc>
          <w:tcPr/>
          <w:p>
            <w:pPr>
              <w:pStyle w:val="Compact"/>
            </w:pPr>
            <w:r>
              <w:t xml:space="preserve">79</w:t>
            </w:r>
          </w:p>
        </w:tc>
      </w:tr>
    </w:tbl>
    <w:p>
      <w:pPr>
        <w:pStyle w:val="BodyText"/>
      </w:pPr>
      <w:r>
        <w:rPr>
          <w:b/>
          <w:bCs/>
        </w:rPr>
        <w:t xml:space="preserve">Nota:</w:t>
      </w:r>
      <w:r>
        <w:t xml:space="preserve"> </w:t>
      </w:r>
      <w:r>
        <w:t xml:space="preserve">el documento es en esencia una agenda de preparación/adaptación ante un gravamen comercial externo: propone contenido compatible con el gran impulso ambiental (reorientación fiscal, empleo verde, sectores sostenibles) pero nunca con la lógica de paquete coordinado de inversión "a escala de modelo de desarrollo".</w:t>
      </w:r>
    </w:p>
    <w:bookmarkEnd w:id="25"/>
    <w:bookmarkStart w:id="26" w:name="X2f9568798ba5ad7f341379b54f9a3b069faeccf"/>
    <w:p>
      <w:pPr>
        <w:pStyle w:val="Heading3"/>
      </w:pPr>
      <w:r>
        <w:t xml:space="preserve">Criterio ii — ¿Articula actores mediante un mecanismo concreto? →</w:t>
      </w:r>
      <w:r>
        <w:t xml:space="preserve"> </w:t>
      </w:r>
      <w:r>
        <w:rPr>
          <w:b/>
          <w:bCs/>
        </w:rPr>
        <w:t xml:space="preserve">Parcial</w:t>
      </w:r>
    </w:p>
    <w:p>
      <w:pPr>
        <w:pStyle w:val="FirstParagraph"/>
      </w:pPr>
      <w:r>
        <w:rPr>
          <w:b/>
          <w:bCs/>
        </w:rPr>
        <w:t xml:space="preserve">Razonamiento:</w:t>
      </w:r>
      <w:r>
        <w:t xml:space="preserve"> </w:t>
      </w:r>
      <w:r>
        <w:t xml:space="preserve">Los únicos mecanismos de coordinación con nombre propio que el documento describe —el "Consejo de Acero del CBAM" (julio de 2021), el "Grupo Asesor de Comercio de Carbono" (enero de 2021) y la propuesta de un "Consejo de Hidrógeno Corea-UE" (Recuadro 13, p.70-71)— son instancias creadas por la República de Corea para su propio diálogo con la UE, presentadas por el documento como referente de lo que otros países están haciendo: articulación de un actor extrarregional, no propuesta ni vigente para la subregión analizada (Centroamérica, México, Cuba, Haití y República Dominicana). Para la subregión, el documento solo registra: el interés expresado por México en colaborar con la UE en energías renovables y transporte sostenible (Cuadro 8, p.70), la mención diagnóstica de MERCOSUR, CARICOM y SICA acompañada de la constatación de que ALC "ha carecido de una voz unificada" (p.69), y lenguaje condicional del tipo "se puede considerar la posibilidad de colaborar con la UE" (p.70). Es decir: actores específicos nombrados y un referente extrarregional concreto, pero ningún mecanismo de coordinación propio del ámbito de aplicación, ni existente ni propuesto formalmente con nombre.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"se creó un Consejo de Acero del mecanismo de ajuste en frontera por carbono en julio de 2021, seguido de un Grupo Asesor de Comercio de Carbono en enero de 2021, con el objetivo de asegurar una comunicación continua y discutir posibles medidas a tomar"</w:t>
            </w:r>
          </w:p>
        </w:tc>
        <w:tc>
          <w:tcPr/>
          <w:p>
            <w:pPr>
              <w:pStyle w:val="Compact"/>
            </w:pPr>
            <w:r>
              <w:t xml:space="preserve">71</w:t>
            </w:r>
          </w:p>
        </w:tc>
      </w:tr>
      <w:tr>
        <w:tc>
          <w:tcPr/>
          <w:p>
            <w:pPr>
              <w:pStyle w:val="Compact"/>
            </w:pPr>
            <w:r>
              <w:t xml:space="preserve">"En la región de ALC, México es uno de los pocos países que ha expresado interés en trabajar con la UE en áreas relacionadas con el mecanismo de ajuste en frontera por carbono"</w:t>
            </w:r>
          </w:p>
        </w:tc>
        <w:tc>
          <w:tcPr/>
          <w:p>
            <w:pPr>
              <w:pStyle w:val="Compact"/>
            </w:pPr>
            <w:r>
              <w:t xml:space="preserve">70</w:t>
            </w:r>
          </w:p>
        </w:tc>
      </w:tr>
      <w:tr>
        <w:tc>
          <w:tcPr/>
          <w:p>
            <w:pPr>
              <w:pStyle w:val="Compact"/>
            </w:pPr>
            <w:r>
              <w:t xml:space="preserve">"aunque la región de ALC ha participado en numerosos foros de negociación relacionados con el clima, ha carecido de una voz unificada en el escenario internacional, lo que ha resultado en la fragmentación del proceso de integración regional"</w:t>
            </w:r>
          </w:p>
        </w:tc>
        <w:tc>
          <w:tcPr/>
          <w:p>
            <w:pPr>
              <w:pStyle w:val="Compact"/>
            </w:pPr>
            <w:r>
              <w:t xml:space="preserve">69</w:t>
            </w:r>
          </w:p>
        </w:tc>
      </w:tr>
      <w:tr>
        <w:tc>
          <w:tcPr/>
          <w:p>
            <w:pPr>
              <w:pStyle w:val="Compact"/>
            </w:pPr>
            <w:r>
              <w:t xml:space="preserve">"se puede considerar la posibilidad de colaborar con la UE para garantizar que este no tenga un impacto negativo en las economías y para identificar oportunidades de cooperación en la lucha contra el cambio climático"</w:t>
            </w:r>
          </w:p>
        </w:tc>
        <w:tc>
          <w:tcPr/>
          <w:p>
            <w:pPr>
              <w:pStyle w:val="Compact"/>
            </w:pPr>
            <w:r>
              <w:t xml:space="preserve">70</w:t>
            </w:r>
          </w:p>
        </w:tc>
      </w:tr>
    </w:tbl>
    <w:p>
      <w:pPr>
        <w:pStyle w:val="BodyText"/>
      </w:pPr>
      <w:r>
        <w:rPr>
          <w:b/>
          <w:bCs/>
        </w:rPr>
        <w:t xml:space="preserve">Nota:</w:t>
      </w:r>
      <w:r>
        <w:t xml:space="preserve"> </w:t>
      </w:r>
      <w:r>
        <w:t xml:space="preserve">este veredicto fue corregido de "Sí" a "Parcial" en la revisión humana del piloto, verificando contra el PDF que los mecanismos coreanos son ejemplos extrarregionales: describen la articulación de otro actor, no la del sujeto del documento. Pueden citarse como referente, no acreditarse como articulación de la subregión.</w:t>
      </w:r>
    </w:p>
    <w:bookmarkEnd w:id="26"/>
    <w:bookmarkStart w:id="27" w:name="X75cb014165a04ad50263d511622604b5c60e9d1"/>
    <w:p>
      <w:pPr>
        <w:pStyle w:val="Heading3"/>
      </w:pPr>
      <w:r>
        <w:t xml:space="preserve">Criterio iii — ¿Releva oportunidades productivas sostenibles? →</w:t>
      </w:r>
      <w:r>
        <w:t xml:space="preserve"> </w:t>
      </w:r>
      <w:r>
        <w:rPr>
          <w:b/>
          <w:bCs/>
        </w:rPr>
        <w:t xml:space="preserve">Sí</w:t>
      </w:r>
    </w:p>
    <w:p>
      <w:pPr>
        <w:pStyle w:val="FirstParagraph"/>
      </w:pPr>
      <w:r>
        <w:rPr>
          <w:b/>
          <w:bCs/>
        </w:rPr>
        <w:t xml:space="preserve">Razonamiento:</w:t>
      </w:r>
      <w:r>
        <w:t xml:space="preserve"> </w:t>
      </w:r>
      <w:r>
        <w:t xml:space="preserve">El documento enumera cuatro oportunidades productivas concretas (ver desglose) y desarrolla el vínculo con empleo y desigualdad con cifras propias. El empleo verde se cuantifica con estimaciones sectoriales de la OIT: +100.000 empleos en energías renovables, +540.000 en construcción por eficiencia energética y +120.000 en manufactura de tecnologías bajas en carbono para ALC en el escenario de descarbonización (p.44-45). La conexión con desigualdad se desarrolla en extenso vía la brecha de género: mujeres por debajo del 25% de la fuerza laboral en sectores clave de la transición verde y menos del 35% de los graduados STEM, con más del 80% de los nuevos empleos de la descarbonización en sectores dominados por hombres (p.47). Al menos dos de los cuatro elementos enumerados cumplen simultáneamente ambos requisitos del criterio (enumeración concreta y vínculo cuantificado con empleo/desigualdad), lo que sostiene el "Sí". El vínculo con desigualdad no es una mención aislada: la brecha de género en empleo verde ocupa varias páginas con datos propios (p.47-49) y motiva una recomendación específica de representación equilibrada.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"el empleo en el sector de las energías renovables agregaría 22% más de empleos en el escenario de descarbonización en comparación con el escenario de altas emisiones, lo que representaría 100.000 empleos adicionales en la región de ALC"</w:t>
            </w:r>
          </w:p>
        </w:tc>
        <w:tc>
          <w:tcPr/>
          <w:p>
            <w:pPr>
              <w:pStyle w:val="Compact"/>
            </w:pPr>
            <w:r>
              <w:t xml:space="preserve">44-45</w:t>
            </w:r>
          </w:p>
        </w:tc>
      </w:tr>
      <w:tr>
        <w:tc>
          <w:tcPr/>
          <w:p>
            <w:pPr>
              <w:pStyle w:val="Compact"/>
            </w:pPr>
            <w:r>
              <w:t xml:space="preserve">"la OIT también ha estimado que, antes de la pandemia, las mujeres representaban menos del 25% de la fuerza laboral en la región de ALC en sectores clave para la transición verde, como bioeconomía, energía, movilidad y transporte, y manufactura"</w:t>
            </w:r>
          </w:p>
        </w:tc>
        <w:tc>
          <w:tcPr/>
          <w:p>
            <w:pPr>
              <w:pStyle w:val="Compact"/>
            </w:pPr>
            <w:r>
              <w:t xml:space="preserve">47</w:t>
            </w:r>
          </w:p>
        </w:tc>
      </w:tr>
      <w:tr>
        <w:tc>
          <w:tcPr/>
          <w:p>
            <w:pPr>
              <w:pStyle w:val="Compact"/>
            </w:pPr>
            <w:r>
              <w:t xml:space="preserve">"un área comercial potencial, por ejemplo, podría ser ayudar a otras empresas a medir, verificar e informar sus emisiones de GEI a nivel de producto cuando exportan a la UE o a cualquier otro país que pueda estar anunciando esquemas similares"</w:t>
            </w:r>
          </w:p>
        </w:tc>
        <w:tc>
          <w:tcPr/>
          <w:p>
            <w:pPr>
              <w:pStyle w:val="Compact"/>
            </w:pPr>
            <w:r>
              <w:t xml:space="preserve">59</w:t>
            </w:r>
          </w:p>
        </w:tc>
      </w:tr>
    </w:tbl>
    <w:p>
      <w:pPr>
        <w:pStyle w:val="BodyText"/>
      </w:pPr>
      <w:r>
        <w:rPr>
          <w:b/>
          <w:bCs/>
        </w:rPr>
        <w:t xml:space="preserve">Desglose de las oportunidades enumeradas: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Oportunidad</w:t>
            </w:r>
          </w:p>
        </w:tc>
        <w:tc>
          <w:tcPr/>
          <w:p>
            <w:pPr>
              <w:pStyle w:val="Compact"/>
            </w:pPr>
            <w:r>
              <w:t xml:space="preserve">Clasificación</w:t>
            </w:r>
          </w:p>
        </w:tc>
        <w:tc>
          <w:tcPr/>
          <w:p>
            <w:pPr>
              <w:pStyle w:val="Compact"/>
            </w:pPr>
            <w:r>
              <w:t xml:space="preserve">Página</w:t>
            </w:r>
          </w:p>
        </w:tc>
      </w:tr>
      <w:tr>
        <w:tc>
          <w:tcPr/>
          <w:p>
            <w:pPr>
              <w:pStyle w:val="Compact"/>
            </w:pPr>
            <w:r>
              <w:t xml:space="preserve">Empleo verde en energías renovables, construcción con eficiencia energética y manufactura baja en carbono, con cifras OIT desagregadas por sector (+100.000, +540.000 y +120.000 empleos para ALC)</w:t>
            </w:r>
          </w:p>
        </w:tc>
        <w:tc>
          <w:tcPr/>
          <w:p>
            <w:pPr>
              <w:pStyle w:val="Compact"/>
            </w:pPr>
            <w:r>
              <w:t xml:space="preserve">CONCRETO</w:t>
            </w:r>
          </w:p>
        </w:tc>
        <w:tc>
          <w:tcPr/>
          <w:p>
            <w:pPr>
              <w:pStyle w:val="Compact"/>
            </w:pPr>
            <w:r>
              <w:t xml:space="preserve">45</w:t>
            </w:r>
          </w:p>
        </w:tc>
      </w:tr>
      <w:tr>
        <w:tc>
          <w:tcPr/>
          <w:p>
            <w:pPr>
              <w:pStyle w:val="Compact"/>
            </w:pPr>
            <w:r>
              <w:t xml:space="preserve">Servicios de medición, verificación y reporte de emisiones de GEI a nivel de producto como nuevo nicho de negocio y de demanda laboral especializada, incluida la acreditación como verificador ante la UE</w:t>
            </w:r>
          </w:p>
        </w:tc>
        <w:tc>
          <w:tcPr/>
          <w:p>
            <w:pPr>
              <w:pStyle w:val="Compact"/>
            </w:pPr>
            <w:r>
              <w:t xml:space="preserve">CONCRETO</w:t>
            </w:r>
          </w:p>
        </w:tc>
        <w:tc>
          <w:tcPr/>
          <w:p>
            <w:pPr>
              <w:pStyle w:val="Compact"/>
            </w:pPr>
            <w:r>
              <w:t xml:space="preserve">59</w:t>
            </w:r>
          </w:p>
        </w:tc>
      </w:tr>
      <w:tr>
        <w:tc>
          <w:tcPr/>
          <w:p>
            <w:pPr>
              <w:pStyle w:val="Compact"/>
            </w:pPr>
            <w:r>
              <w:t xml:space="preserve">Gestión de datos de emisiones mediante tecnología blockchain como nueva área comercial y de habilidades</w:t>
            </w:r>
          </w:p>
        </w:tc>
        <w:tc>
          <w:tcPr/>
          <w:p>
            <w:pPr>
              <w:pStyle w:val="Compact"/>
            </w:pPr>
            <w:r>
              <w:t xml:space="preserve">CONCRETO</w:t>
            </w:r>
          </w:p>
        </w:tc>
        <w:tc>
          <w:tcPr/>
          <w:p>
            <w:pPr>
              <w:pStyle w:val="Compact"/>
            </w:pPr>
            <w:r>
              <w:t xml:space="preserve">74</w:t>
            </w:r>
          </w:p>
        </w:tc>
      </w:tr>
      <w:tr>
        <w:tc>
          <w:tcPr/>
          <w:p>
            <w:pPr>
              <w:pStyle w:val="Compact"/>
            </w:pPr>
            <w:r>
              <w:t xml:space="preserve">Coprocesamiento de residuos en la industria cementera (caso CANACEM: meta de 32% de coprocesamiento y -17% de emisiones a 2030)</w:t>
            </w:r>
          </w:p>
        </w:tc>
        <w:tc>
          <w:tcPr/>
          <w:p>
            <w:pPr>
              <w:pStyle w:val="Compact"/>
            </w:pPr>
            <w:r>
              <w:t xml:space="preserve">CONCRETO</w:t>
            </w:r>
          </w:p>
        </w:tc>
        <w:tc>
          <w:tcPr/>
          <w:p>
            <w:pPr>
              <w:pStyle w:val="Compact"/>
            </w:pPr>
            <w:r>
              <w:t xml:space="preserve">76</w:t>
            </w:r>
          </w:p>
        </w:tc>
      </w:tr>
    </w:tbl>
    <w:p>
      <w:pPr>
        <w:pStyle w:val="BodyText"/>
      </w:pPr>
      <w:r>
        <w:rPr>
          <w:b/>
          <w:bCs/>
        </w:rPr>
        <w:t xml:space="preserve">Balance: 4 de 4 elementos enumerados son actividades productivas concretas; 2 de 4 desarrollan además el vínculo cuantificado con empleo/desigualdad.</w:t>
      </w:r>
    </w:p>
    <w:bookmarkEnd w:id="27"/>
    <w:bookmarkStart w:id="28" w:name="Xe5278bfd6d1c7cccd7daff8cfd2e24b6fb5a4a4"/>
    <w:p>
      <w:pPr>
        <w:pStyle w:val="Heading3"/>
      </w:pPr>
      <w:r>
        <w:t xml:space="preserve">Criterio iv — ¿Propone el "cómo hacerlo" de forma concreta? →</w:t>
      </w:r>
      <w:r>
        <w:t xml:space="preserve"> </w:t>
      </w:r>
      <w:r>
        <w:rPr>
          <w:b/>
          <w:bCs/>
        </w:rPr>
        <w:t xml:space="preserve">Parcial</w:t>
      </w:r>
    </w:p>
    <w:p>
      <w:pPr>
        <w:pStyle w:val="FirstParagraph"/>
      </w:pPr>
      <w:r>
        <w:rPr>
          <w:b/>
          <w:bCs/>
        </w:rPr>
        <w:t xml:space="preserve">Razonamiento:</w:t>
      </w:r>
      <w:r>
        <w:t xml:space="preserve"> </w:t>
      </w:r>
      <w:r>
        <w:t xml:space="preserve">El documento enumera 8 puntos de acción en el capítulo IV (p.73-78). Aplicada la prueba de concreción ítem por ítem (verbo de acción + objeto específico, opcionalmente actor, plazo o métrica): 4 de los 8 nombran un instrumento, tecnología o programa identificable, mientras que los otros 4 permanecen en lenguaje de "debería/podría" sin mecanismo específico ni actor responsable. Exactamente la mitad de la lista pasa la prueba de concreción —no una mayoría—, la mezcla que la regla define como "Parcial". El veredicto refleja la proporción de ítems que pasan la prueba, no la existencia de la lista ni sus ejemplos más fuertes (blockchain, CANACEM): acreditar la lista entera por sus mejores ítems es exactamente el error que la regla busca evitar.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 de respaldo</w:t>
            </w:r>
          </w:p>
        </w:tc>
        <w:tc>
          <w:tcPr/>
          <w:p>
            <w:pPr>
              <w:pStyle w:val="Compact"/>
            </w:pPr>
            <w:r>
              <w:t xml:space="preserve">Página</w:t>
            </w:r>
          </w:p>
        </w:tc>
      </w:tr>
      <w:tr>
        <w:tc>
          <w:tcPr/>
          <w:p>
            <w:pPr>
              <w:pStyle w:val="Compact"/>
            </w:pPr>
            <w:r>
              <w:t xml:space="preserve">"Las políticas laborales activas podrían incluir programas de formación profesional, mientras que las políticas laborales pasivas podrían implicar pólizas de seguro médico universal y apoyo financiero por desempleo"</w:t>
            </w:r>
          </w:p>
        </w:tc>
        <w:tc>
          <w:tcPr/>
          <w:p>
            <w:pPr>
              <w:pStyle w:val="Compact"/>
            </w:pPr>
            <w:r>
              <w:t xml:space="preserve">75</w:t>
            </w:r>
          </w:p>
        </w:tc>
      </w:tr>
      <w:tr>
        <w:tc>
          <w:tcPr/>
          <w:p>
            <w:pPr>
              <w:pStyle w:val="Compact"/>
            </w:pPr>
            <w:r>
              <w:t xml:space="preserve">"los gobiernos podrían incentivar a los inversores y empresas a implementar un precio interno del carbono, establecer metas voluntarias de reducción de emisiones que se alineen con los objetivos nacionales y globales de reducción de GEI"</w:t>
            </w:r>
          </w:p>
        </w:tc>
        <w:tc>
          <w:tcPr/>
          <w:p>
            <w:pPr>
              <w:pStyle w:val="Compact"/>
            </w:pPr>
            <w:r>
              <w:t xml:space="preserve">75</w:t>
            </w:r>
          </w:p>
        </w:tc>
      </w:tr>
      <w:tr>
        <w:tc>
          <w:tcPr/>
          <w:p>
            <w:pPr>
              <w:pStyle w:val="Compact"/>
            </w:pPr>
            <w:r>
              <w:t xml:space="preserve">"Los marcos legales podrían ayudar a construir la base para una representación equilibrada"</w:t>
            </w:r>
          </w:p>
        </w:tc>
        <w:tc>
          <w:tcPr/>
          <w:p>
            <w:pPr>
              <w:pStyle w:val="Compact"/>
            </w:pPr>
            <w:r>
              <w:t xml:space="preserve">75</w:t>
            </w:r>
          </w:p>
        </w:tc>
      </w:tr>
    </w:tbl>
    <w:p>
      <w:pPr>
        <w:pStyle w:val="BodyText"/>
      </w:pPr>
      <w:r>
        <w:rPr>
          <w:b/>
          <w:bCs/>
        </w:rPr>
        <w:t xml:space="preserve">Desglose ítem por ítem: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 de acción</w:t>
            </w:r>
          </w:p>
        </w:tc>
        <w:tc>
          <w:tcPr/>
          <w:p>
            <w:pPr>
              <w:pStyle w:val="Compact"/>
            </w:pPr>
            <w:r>
              <w:t xml:space="preserve">Clasificación</w:t>
            </w:r>
          </w:p>
        </w:tc>
        <w:tc>
          <w:tcPr/>
          <w:p>
            <w:pPr>
              <w:pStyle w:val="Compact"/>
            </w:pPr>
            <w:r>
              <w:t xml:space="preserve">Página</w:t>
            </w:r>
          </w:p>
        </w:tc>
      </w:tr>
      <w:tr>
        <w:tc>
          <w:tcPr/>
          <w:p>
            <w:pPr>
              <w:pStyle w:val="Compact"/>
            </w:pPr>
            <w:r>
              <w:t xml:space="preserve">Mejorar la recopilación, verificación y gestión de datos de emisiones — nombra la tecnología blockchain con recuadro dedicado (Recuadro 14) e incentivos de reporte de sostenibilidad</w:t>
            </w:r>
          </w:p>
        </w:tc>
        <w:tc>
          <w:tcPr/>
          <w:p>
            <w:pPr>
              <w:pStyle w:val="Compact"/>
            </w:pPr>
            <w:r>
              <w:t xml:space="preserve">CONCRETO</w:t>
            </w:r>
          </w:p>
        </w:tc>
        <w:tc>
          <w:tcPr/>
          <w:p>
            <w:pPr>
              <w:pStyle w:val="Compact"/>
            </w:pPr>
            <w:r>
              <w:t xml:space="preserve">73</w:t>
            </w:r>
          </w:p>
        </w:tc>
      </w:tr>
      <w:tr>
        <w:tc>
          <w:tcPr/>
          <w:p>
            <w:pPr>
              <w:pStyle w:val="Compact"/>
            </w:pPr>
            <w:r>
              <w:t xml:space="preserve">Garantizar un poder de representación equilibrado entre sectores y partes interesadas — solo "los marcos legales podrían ayudar", sin mecanismo nombrado</w:t>
            </w:r>
          </w:p>
        </w:tc>
        <w:tc>
          <w:tcPr/>
          <w:p>
            <w:pPr>
              <w:pStyle w:val="Compact"/>
            </w:pPr>
            <w:r>
              <w:t xml:space="preserve">GENÉRICO</w:t>
            </w:r>
          </w:p>
        </w:tc>
        <w:tc>
          <w:tcPr/>
          <w:p>
            <w:pPr>
              <w:pStyle w:val="Compact"/>
            </w:pPr>
            <w:r>
              <w:t xml:space="preserve">75</w:t>
            </w:r>
          </w:p>
        </w:tc>
      </w:tr>
      <w:tr>
        <w:tc>
          <w:tcPr/>
          <w:p>
            <w:pPr>
              <w:pStyle w:val="Compact"/>
            </w:pPr>
            <w:r>
              <w:t xml:space="preserve">Promover políticas activas y pasivas del mercado laboral — nombra formación profesional, seguro médico universal, apoyo financiero por desempleo y revisión curricular con foco STEM</w:t>
            </w:r>
          </w:p>
        </w:tc>
        <w:tc>
          <w:tcPr/>
          <w:p>
            <w:pPr>
              <w:pStyle w:val="Compact"/>
            </w:pPr>
            <w:r>
              <w:t xml:space="preserve">CONCRETO</w:t>
            </w:r>
          </w:p>
        </w:tc>
        <w:tc>
          <w:tcPr/>
          <w:p>
            <w:pPr>
              <w:pStyle w:val="Compact"/>
            </w:pPr>
            <w:r>
              <w:t xml:space="preserve">75</w:t>
            </w:r>
          </w:p>
        </w:tc>
      </w:tr>
      <w:tr>
        <w:tc>
          <w:tcPr/>
          <w:p>
            <w:pPr>
              <w:pStyle w:val="Compact"/>
            </w:pPr>
            <w:r>
              <w:t xml:space="preserve">Asociarse con el sector privado, particularmente con negocios y sectores bajos en carbono — nombra precio interno del carbono, metas voluntarias de reducción y el caso real de CANACEM (Recuadro 15)</w:t>
            </w:r>
          </w:p>
        </w:tc>
        <w:tc>
          <w:tcPr/>
          <w:p>
            <w:pPr>
              <w:pStyle w:val="Compact"/>
            </w:pPr>
            <w:r>
              <w:t xml:space="preserve">CONCRETO</w:t>
            </w:r>
          </w:p>
        </w:tc>
        <w:tc>
          <w:tcPr/>
          <w:p>
            <w:pPr>
              <w:pStyle w:val="Compact"/>
            </w:pPr>
            <w:r>
              <w:t xml:space="preserve">75</w:t>
            </w:r>
          </w:p>
        </w:tc>
      </w:tr>
      <w:tr>
        <w:tc>
          <w:tcPr/>
          <w:p>
            <w:pPr>
              <w:pStyle w:val="Compact"/>
            </w:pPr>
            <w:r>
              <w:t xml:space="preserve">Promover políticas fiscales con objetivo climático — nombra sistema de comercio de derechos de emisión, impuestos al carbono, eliminación gradual de subsidios y bonos verdes/sociales/catastróficos</w:t>
            </w:r>
          </w:p>
        </w:tc>
        <w:tc>
          <w:tcPr/>
          <w:p>
            <w:pPr>
              <w:pStyle w:val="Compact"/>
            </w:pPr>
            <w:r>
              <w:t xml:space="preserve">CONCRETO</w:t>
            </w:r>
          </w:p>
        </w:tc>
        <w:tc>
          <w:tcPr/>
          <w:p>
            <w:pPr>
              <w:pStyle w:val="Compact"/>
            </w:pPr>
            <w:r>
              <w:t xml:space="preserve">76</w:t>
            </w:r>
          </w:p>
        </w:tc>
      </w:tr>
      <w:tr>
        <w:tc>
          <w:tcPr/>
          <w:p>
            <w:pPr>
              <w:pStyle w:val="Compact"/>
            </w:pPr>
            <w:r>
              <w:t xml:space="preserve">Ver más allá de los sectores involucrados con el CBAM — llamado a "un análisis exhaustivo de la cadena de suministro" sin especificar quién lo hace ni con qué mecanismo</w:t>
            </w:r>
          </w:p>
        </w:tc>
        <w:tc>
          <w:tcPr/>
          <w:p>
            <w:pPr>
              <w:pStyle w:val="Compact"/>
            </w:pPr>
            <w:r>
              <w:t xml:space="preserve">GENÉRICO</w:t>
            </w:r>
          </w:p>
        </w:tc>
        <w:tc>
          <w:tcPr/>
          <w:p>
            <w:pPr>
              <w:pStyle w:val="Compact"/>
            </w:pPr>
            <w:r>
              <w:t xml:space="preserve">77</w:t>
            </w:r>
          </w:p>
        </w:tc>
      </w:tr>
      <w:tr>
        <w:tc>
          <w:tcPr/>
          <w:p>
            <w:pPr>
              <w:pStyle w:val="Compact"/>
            </w:pPr>
            <w:r>
              <w:t xml:space="preserve">Integrar las acciones de adaptación al clima con medidas de política comercial — lenguaje de "es imperativo que" y "podría beneficiarse" sin instrumento nombrado</w:t>
            </w:r>
          </w:p>
        </w:tc>
        <w:tc>
          <w:tcPr/>
          <w:p>
            <w:pPr>
              <w:pStyle w:val="Compact"/>
            </w:pPr>
            <w:r>
              <w:t xml:space="preserve">GENÉRICO</w:t>
            </w:r>
          </w:p>
        </w:tc>
        <w:tc>
          <w:tcPr/>
          <w:p>
            <w:pPr>
              <w:pStyle w:val="Compact"/>
            </w:pPr>
            <w:r>
              <w:t xml:space="preserve">77</w:t>
            </w:r>
          </w:p>
        </w:tc>
      </w:tr>
      <w:tr>
        <w:tc>
          <w:tcPr/>
          <w:p>
            <w:pPr>
              <w:pStyle w:val="Compact"/>
            </w:pPr>
            <w:r>
              <w:t xml:space="preserve">Desarrollar y ampliar asociaciones para reflejar las consideraciones climáticas en los acuerdos comerciales — "la cooperación regional podría fortalecerse… se necesita apoyo bilateral y multilateral" sin nombrar qué acuerdos ni qué mecanismo</w:t>
            </w:r>
          </w:p>
        </w:tc>
        <w:tc>
          <w:tcPr/>
          <w:p>
            <w:pPr>
              <w:pStyle w:val="Compact"/>
            </w:pPr>
            <w:r>
              <w:t xml:space="preserve">GENÉRICO</w:t>
            </w:r>
          </w:p>
        </w:tc>
        <w:tc>
          <w:tcPr/>
          <w:p>
            <w:pPr>
              <w:pStyle w:val="Compact"/>
            </w:pPr>
            <w:r>
              <w:t xml:space="preserve">77</w:t>
            </w:r>
          </w:p>
        </w:tc>
      </w:tr>
    </w:tbl>
    <w:p>
      <w:pPr>
        <w:pStyle w:val="BodyText"/>
      </w:pPr>
      <w:r>
        <w:rPr>
          <w:b/>
          <w:bCs/>
        </w:rPr>
        <w:t xml:space="preserve">Balance: 4 de 8 ítems pasan la prueba de concreción.</w:t>
      </w:r>
    </w:p>
    <w:bookmarkEnd w:id="28"/>
    <w:bookmarkEnd w:id="29"/>
    <w:bookmarkStart w:id="30" w:name="Xfdcff26cf762c1f189f6b72612a1b83368ed136"/>
    <w:p>
      <w:pPr>
        <w:pStyle w:val="Heading2"/>
      </w:pPr>
      <w:r>
        <w:t xml:space="preserve">5. Tipología (nivel: documento completo)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Transformación primaria</w:t>
            </w:r>
          </w:p>
        </w:tc>
        <w:tc>
          <w:tcPr/>
          <w:p>
            <w:pPr>
              <w:pStyle w:val="Compact"/>
            </w:pPr>
            <w:r>
              <w:t xml:space="preserve">#6 Sostenibilidad ambiental — certeza</w:t>
            </w:r>
            <w:r>
              <w:t xml:space="preserve"> </w:t>
            </w:r>
            <w:r>
              <w:rPr>
                <w:b/>
                <w:bCs/>
              </w:rPr>
              <w:t xml:space="preserve">Baja</w:t>
            </w:r>
          </w:p>
        </w:tc>
      </w:tr>
      <w:tr>
        <w:tc>
          <w:tcPr/>
          <w:p>
            <w:pPr>
              <w:pStyle w:val="Compact"/>
            </w:pPr>
            <w:r>
              <w:t xml:space="preserve">Transformación secundaria</w:t>
            </w:r>
          </w:p>
        </w:tc>
        <w:tc>
          <w:tcPr/>
          <w:p>
            <w:pPr>
              <w:pStyle w:val="Compact"/>
            </w:pPr>
            <w:r>
              <w:t xml:space="preserve">#9 Integración económica — certeza</w:t>
            </w:r>
            <w:r>
              <w:t xml:space="preserve"> </w:t>
            </w:r>
            <w:r>
              <w:rPr>
                <w:b/>
                <w:bCs/>
              </w:rPr>
              <w:t xml:space="preserve">Baja</w:t>
            </w:r>
          </w:p>
        </w:tc>
      </w:tr>
      <w:tr>
        <w:tc>
          <w:tcPr/>
          <w:p>
            <w:pPr>
              <w:pStyle w:val="Compact"/>
            </w:pPr>
            <w:r>
              <w:t xml:space="preserve">Tipo de documento climático</w:t>
            </w:r>
          </w:p>
        </w:tc>
        <w:tc>
          <w:tcPr/>
          <w:p>
            <w:pPr>
              <w:pStyle w:val="Compact"/>
            </w:pPr>
            <w:r>
              <w:t xml:space="preserve">Diagnóstico de instrumento externo + evaluación de preparación + propuesta de política (mixto)</w:t>
            </w:r>
          </w:p>
        </w:tc>
      </w:tr>
      <w:tr>
        <w:tc>
          <w:tcPr/>
          <w:p>
            <w:pPr>
              <w:pStyle w:val="Compact"/>
            </w:pPr>
            <w:r>
              <w:t xml:space="preserve">Nivel de aplicación</w:t>
            </w:r>
          </w:p>
        </w:tc>
        <w:tc>
          <w:tcPr/>
          <w:p>
            <w:pPr>
              <w:pStyle w:val="Compact"/>
            </w:pPr>
            <w:r>
              <w:t xml:space="preserve">Subregional (10 países: Centroamérica, Cuba, Haití, México y República Dominicana), con desagregación por país en la mayoría de las cifras</w:t>
            </w:r>
          </w:p>
        </w:tc>
      </w:tr>
      <w:tr>
        <w:tc>
          <w:tcPr/>
          <w:p>
            <w:pPr>
              <w:pStyle w:val="Compact"/>
            </w:pPr>
            <w:r>
              <w:t xml:space="preserve">Ambigüedad pendiente</w:t>
            </w:r>
          </w:p>
        </w:tc>
        <w:tc>
          <w:tcPr/>
          <w:p>
            <w:pPr>
              <w:pStyle w:val="Compact"/>
            </w:pPr>
            <w:r>
              <w:rPr>
                <w:b/>
                <w:bCs/>
              </w:rPr>
              <w:t xml:space="preserve">Sí — es la pregunta abierta para el equipo del curso</w:t>
            </w:r>
            <w:r>
              <w:t xml:space="preserve"> </w:t>
            </w:r>
            <w:r>
              <w:t xml:space="preserve">(ver abajo)</w:t>
            </w:r>
          </w:p>
        </w:tc>
      </w:tr>
    </w:tbl>
    <w:p>
      <w:pPr>
        <w:pStyle w:val="BodyText"/>
      </w:pPr>
      <w:r>
        <w:rPr>
          <w:b/>
          <w:bCs/>
        </w:rPr>
        <w:t xml:space="preserve">Razonamiento en 5 pasos:</w:t>
      </w:r>
    </w:p>
    <w:p>
      <w:pPr>
        <w:pStyle w:val="Compact"/>
        <w:numPr>
          <w:ilvl w:val="0"/>
          <w:numId w:val="1003"/>
        </w:numPr>
      </w:pPr>
      <w:r>
        <w:rPr>
          <w:b/>
          <w:bCs/>
        </w:rPr>
        <w:t xml:space="preserve">Tensión que procesa el documento:</w:t>
      </w:r>
      <w:r>
        <w:t xml:space="preserve"> </w:t>
      </w:r>
      <w:r>
        <w:t xml:space="preserve">la tensión entre una inserción comercial subregional concentrada en los Estados Unidos (74,1% de las exportaciones) y de mínima exposición a la UE, y la emergencia de gravámenes climáticos transfronterizos que amenazan con reescribir las reglas del comercio mundial. El comercio (CBAM) es la superficie del texto, pero cumple una doble función: es el canal por el que llega una presión climática externa y, a la vez, el terreno de la respuesta propuesta (acuerdos, cooperación, competitividad). Esa doble función —comercio como canal y como sujeto— es exactamente lo que vuelve ambiguo el caso.</w:t>
      </w:r>
    </w:p>
    <w:p>
      <w:pPr>
        <w:pStyle w:val="Compact"/>
        <w:numPr>
          <w:ilvl w:val="0"/>
          <w:numId w:val="1003"/>
        </w:numPr>
      </w:pPr>
      <w:r>
        <w:rPr>
          <w:b/>
          <w:bCs/>
        </w:rPr>
        <w:t xml:space="preserve">Categoría primaria:</w:t>
      </w:r>
      <w:r>
        <w:t xml:space="preserve"> </w:t>
      </w:r>
      <w:r>
        <w:t xml:space="preserve">¿qué pretende transformar el documento? La lectura adoptada: la preparación climática de la subregión —política fiscal ambiental (precios al carbono, eliminación de subsidios fósiles), sistemas de datos de emisiones, transición laboral verde—, usando el CBAM como detonante de esa transformación. Eso ancla la primaria en #6 Sostenibilidad ambiental. La lectura alternativa (lo que se transforma es la inserción comercial y la coordinación regional ante un shock regulatorio externo) anclaría #9 como primaria con fuerza comparable; se documenta como ambigüedad pendiente.</w:t>
      </w:r>
    </w:p>
    <w:p>
      <w:pPr>
        <w:pStyle w:val="Compact"/>
        <w:numPr>
          <w:ilvl w:val="0"/>
          <w:numId w:val="1003"/>
        </w:numPr>
      </w:pPr>
      <w:r>
        <w:rPr>
          <w:b/>
          <w:bCs/>
        </w:rPr>
        <w:t xml:space="preserve">Secundaria (obligatoria):</w:t>
      </w:r>
      <w:r>
        <w:t xml:space="preserve"> </w:t>
      </w:r>
      <w:r>
        <w:t xml:space="preserve">#9 Integración económica: el documento constata que ALC "ha carecido de una voz unificada" en los foros climáticos (p.69), releva los tratados de libre comercio con elementos de protección ambiental (Cuadro 7) y recomienda actualizar acuerdos comerciales con consideraciones climáticas y fortalecer la cooperación regional para reducir la dependencia de los Estados Unidos y China (p.77).</w:t>
      </w:r>
    </w:p>
    <w:p>
      <w:pPr>
        <w:pStyle w:val="Compact"/>
        <w:numPr>
          <w:ilvl w:val="0"/>
          <w:numId w:val="1003"/>
        </w:numPr>
      </w:pPr>
      <w:r>
        <w:rPr>
          <w:b/>
          <w:bCs/>
        </w:rPr>
        <w:t xml:space="preserve">Justificación específica (regla anti-copia):</w:t>
      </w:r>
      <w:r>
        <w:t xml:space="preserve"> </w:t>
      </w:r>
      <w:r>
        <w:t xml:space="preserve">la clasificación se sostiene en conceptos literales del texto y no en las definiciones del canon: el "impuesto fronterizo al carbono" como objeto, los subsidios energéticos por 55.400 millones de dólares (3% del PIB subregional), la matriz eléctrica 51,94% renovable como "punto de partida ventajoso", el coprocesamiento de residuos de la industria cementera mexicana (CANACEM) y la actualización de tratados de libre comercio con elementos de protección ambiental — combinación irrepetible en otro documento del corpus.</w:t>
      </w:r>
    </w:p>
    <w:p>
      <w:pPr>
        <w:pStyle w:val="Compact"/>
        <w:numPr>
          <w:ilvl w:val="0"/>
          <w:numId w:val="1003"/>
        </w:numPr>
      </w:pPr>
      <w:r>
        <w:rPr>
          <w:b/>
          <w:bCs/>
        </w:rPr>
        <w:t xml:space="preserve">Validación contra casos ancla:</w:t>
      </w:r>
      <w:r>
        <w:t xml:space="preserve"> </w:t>
      </w:r>
      <w:r>
        <w:t xml:space="preserve">el documento es una de las anclas fundacionales del corpus climático, registrada como caso genuinamente ambiguo #6/#9 (tentativas): la asignación replica esa ancla con certeza Baja en ambas posiciones en lugar de forzar una resolución confiada. No pertenece a una serie insignia o Panorama con ancla predefinida.</w:t>
      </w:r>
    </w:p>
    <w:p>
      <w:pPr>
        <w:pStyle w:val="FirstParagraph"/>
      </w:pPr>
      <w:r>
        <w:rPr>
          <w:b/>
          <w:bCs/>
        </w:rPr>
        <w:t xml:space="preserve">Ambigüedad pendiente de validación experta:</w:t>
      </w:r>
      <w:r>
        <w:t xml:space="preserve"> </w:t>
      </w:r>
      <w:r>
        <w:t xml:space="preserve">la asignación primaria/secundaria entre #6 (Sostenibilidad ambiental) y #9 (Integración económica) es genuinamente ambigua: el documento vive en la intersección comercio-clima y podría defenderse #9 como primaria con igual fuerza, porque el objeto analizado es un instrumento comercial y buena parte de las recomendaciones son de política comercial y cooperación regional. Se asigna #6 como mejor hipótesis (lo que el documento pide transformar es la preparación climática-fiscal de la subregión) con certeza Baja en ambas posiciones; queda pendiente del criterio experto del equipo del curso antes de usarse como caso ancla resuelto.</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hdl.handle.net/11362/68639" TargetMode="External" /></Relationships>
</file>

<file path=word/_rels/footnotes.xml.rels><?xml version="1.0" encoding="UTF-8"?><Relationships xmlns="http://schemas.openxmlformats.org/package/2006/relationships"><Relationship Type="http://schemas.openxmlformats.org/officeDocument/2006/relationships/hyperlink" Id="rId9" Target="https://hdl.handle.net/11362/686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2026-07-09T12:42:37Z</dcterms:created>
  <dcterms:modified xsi:type="dcterms:W3CDTF">2026-07-09T12:42:37Z</dcterms:modified>
</cp:coreProperties>
</file>

<file path=docProps/custom.xml><?xml version="1.0" encoding="utf-8"?>
<Properties xmlns="http://schemas.openxmlformats.org/officeDocument/2006/custom-properties" xmlns:vt="http://schemas.openxmlformats.org/officeDocument/2006/docPropsVTypes"/>
</file>