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across occupations, suggesting varying financial management approaches or fixed cost structures.</w:t>
      </w:r>
    </w:p>
    <w:p>
      <w:pPr>
        <w:pStyle w:val="Heading1"/>
      </w:pPr>
      <w:r>
        <w:t>Key Insights</w:t>
      </w:r>
    </w:p>
    <w:p>
      <w:pPr>
        <w:pStyle w:val="ListBullet"/>
      </w:pPr>
      <w:r>
        <w:t>Engineers and accountants have the highest absolute savings (GHS 2,400 and GHS 1,800 monthly respectively)</w:t>
      </w:r>
    </w:p>
    <w:p>
      <w:pPr>
        <w:pStyle w:val="ListBullet"/>
      </w:pPr>
      <w:r>
        <w:t>The student has the lowest savings amount (GHS 200 monthly) and savings rate (16.7%)</w:t>
      </w:r>
    </w:p>
    <w:p>
      <w:pPr>
        <w:pStyle w:val="ListBullet"/>
      </w:pPr>
      <w:r>
        <w:t>All individuals maintain positive cash flow with expenses lower than income</w:t>
      </w:r>
    </w:p>
    <w:p>
      <w:pPr>
        <w:pStyle w:val="ListBullet"/>
      </w:pPr>
      <w:r>
        <w:t>Income range is substantial - from GHS 1,200 (student) to GHS 7,200 (engineer)</w:t>
      </w:r>
    </w:p>
    <w:p>
      <w:pPr>
        <w:pStyle w:val="ListBullet"/>
      </w:pPr>
      <w:r>
        <w:t>The trader shows strong financial performance despite not being a formal profession</w:t>
      </w:r>
    </w:p>
    <w:p>
      <w:pPr>
        <w:pStyle w:val="ListBullet"/>
      </w:pPr>
      <w:r>
        <w:t>Monthly to annual calculations appear consistent with 12-month multipliers</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