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documents the author's experience during the COVID-19 pandemic, focusing on how they transformed fear into constructive action. Faced with widespread anxiety about contamination—particularly regarding basic hygiene activities like using water taps—the author designed and implemented an automated water dispenser for their school community. This invention served approximately 900 students, providing a safe, touch-free method for handwashing and becoming a symbol of resilience and hope during a period of collective despair.</w:t>
        <w:br/>
        <w:br/>
        <w:t>The document emphasizes that meaningful impact often comes from localized, practical solutions rather than grand gestures. The automated dispenser not only addressed an immediate health need but also demonstrated how individual initiative can foster community well-being in times of crisis. The author concludes by reflecting on the deeper lesson learned: that using one's skills to create and give, however modest the contribution, embodies true purpose and leaves a lasting positive effect.</w:t>
      </w:r>
    </w:p>
    <w:p>
      <w:pPr>
        <w:pStyle w:val="Heading1"/>
      </w:pPr>
      <w:r>
        <w:t>Key Insights</w:t>
      </w:r>
    </w:p>
    <w:p>
      <w:pPr>
        <w:pStyle w:val="ListBullet"/>
      </w:pPr>
      <w:r>
        <w:t>The pandemic induced significant fear, especially around everyday objects like water taps, highlighting vulnerabilities in public health infrastructure</w:t>
      </w:r>
    </w:p>
    <w:p>
      <w:pPr>
        <w:pStyle w:val="ListBullet"/>
      </w:pPr>
      <w:r>
        <w:t>Individual innovation can effectively address community-scale problems, as shown by the automated dispenser serving 900 students</w:t>
      </w:r>
    </w:p>
    <w:p>
      <w:pPr>
        <w:pStyle w:val="ListBullet"/>
      </w:pPr>
      <w:r>
        <w:t>Small, practical actions often carry profound symbolic weight, transforming fear into hope through tangible solutions</w:t>
      </w:r>
    </w:p>
    <w:p>
      <w:pPr>
        <w:pStyle w:val="ListBullet"/>
      </w:pPr>
      <w:r>
        <w:t>Crisis can reveal personal purpose, shifting focus from passive suffering to active creation and contribution</w:t>
      </w:r>
    </w:p>
    <w:p>
      <w:pPr>
        <w:pStyle w:val="ListBullet"/>
      </w:pPr>
      <w:r>
        <w:t>The narrative champions resilience—proactively "rising" to challenges rather than waiting for them to pass</w:t>
      </w:r>
    </w:p>
    <w:p>
      <w:pPr>
        <w:pStyle w:val="Heading1"/>
      </w:pPr>
      <w:r>
        <w:t>Questions &amp; Answers</w:t>
      </w:r>
    </w:p>
    <w:p>
      <w:pPr>
        <w:pStyle w:val="ListNumber"/>
      </w:pPr>
      <w:r>
        <w:t>Q1: What is this document about?</w:t>
      </w:r>
    </w:p>
    <w:p>
      <w:r>
        <w:t>Answer: This personal narrative documents the author's experience during the COVID-19 pandemic, focusing on how they transformed fear into constructive action. Faced with widespread anxiety about contaminatio...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