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The financial patterns demonstrate consistent relationships between income levels and savings capacity across all professions.</w:t>
        <w:br/>
        <w:br/>
        <w:t>The analysis shows that higher-income occupations like engineering (GHS 7,200 monthly) generate significantly more savings than lower-income roles like driving (GHS 2,800 monthly). All individuals maintain positive savings, indicating basic financial stability within this sample. The data also reveals that expenses generally scale with income, though savings rates vary by profession, suggesting different financial management approaches or fixed cost structures across occupations.</w:t>
      </w:r>
    </w:p>
    <w:p>
      <w:pPr>
        <w:pStyle w:val="Heading1"/>
      </w:pPr>
      <w:r>
        <w:t>Key Insights</w:t>
      </w:r>
    </w:p>
    <w:p>
      <w:pPr>
        <w:pStyle w:val="ListBullet"/>
      </w:pPr>
      <w:r>
        <w:t>Income inequality is evident, with the highest earner (Engineer at GHS 7,200 monthly) earning 6x more than the lowest earner (Student at GHS 1,200 monthly)</w:t>
      </w:r>
    </w:p>
    <w:p>
      <w:pPr>
        <w:pStyle w:val="ListBullet"/>
      </w:pPr>
      <w:r>
        <w:t>All individuals maintain positive savings, with savings rates ranging from 16.7% (Driver) to 33.3% (Engineer) of monthly income</w:t>
      </w:r>
    </w:p>
    <w:p>
      <w:pPr>
        <w:pStyle w:val="ListBullet"/>
      </w:pPr>
      <w:r>
        <w:t>Professional hierarchy is clear: Engineer and Accountant lead in earnings, followed by Trader, Nurse, Teacher, Driver, and Student</w:t>
      </w:r>
    </w:p>
    <w:p>
      <w:pPr>
        <w:pStyle w:val="ListBullet"/>
      </w:pPr>
      <w:r>
        <w:t>Monthly to annual calculations are consistent (12x multiplier) across all categories</w:t>
      </w:r>
    </w:p>
    <w:p>
      <w:pPr>
        <w:pStyle w:val="ListBullet"/>
      </w:pPr>
      <w:r>
        <w:t>The Trader occupation shows strong performance, ranking third in income despite not being a traditional professional role</w:t>
      </w:r>
    </w:p>
    <w:p>
      <w:pPr>
        <w:pStyle w:val="ListBullet"/>
      </w:pPr>
      <w:r>
        <w:t>Expense patterns generally correlate with income levels, though some variations in savings rates suggest different spending habits</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